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144"/>
        </w:tabs>
        <w:spacing w:after="0" w:before="0" w:line="240" w:lineRule="auto"/>
        <w:ind w:left="0" w:right="0" w:firstLine="2127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</w:t>
        <w:tab/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                                                                                                    ORDENANZA N°3212/2017.-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4" w:sz="24" w:val="single"/>
          <w:between w:color="000000" w:space="1" w:sz="24" w:val="single"/>
        </w:pBdr>
        <w:spacing w:after="280" w:before="280" w:lineRule="auto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TÍTULO: PROCEDIMIENTO DE DOBLE LECTURA – ART. 100 Y 101 CARTA ORGANICA MUNICIPAL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Rule="auto"/>
        <w:jc w:val="both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VISTO: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       El expediente N° 455-PRO-2017;</w:t>
      </w:r>
    </w:p>
    <w:p w:rsidR="00000000" w:rsidDel="00000000" w:rsidP="00000000" w:rsidRDefault="00000000" w:rsidRPr="00000000" w14:paraId="00000006">
      <w:pPr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       La  Orgánica Municipal, Capitulo II, Articulo Nº 100; y </w:t>
      </w:r>
    </w:p>
    <w:p w:rsidR="00000000" w:rsidDel="00000000" w:rsidP="00000000" w:rsidRDefault="00000000" w:rsidRPr="00000000" w14:paraId="00000007">
      <w:pPr>
        <w:tabs>
          <w:tab w:val="left" w:leader="none" w:pos="2760"/>
        </w:tabs>
        <w:spacing w:after="280" w:before="280" w:lineRule="auto"/>
        <w:jc w:val="both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CONSIDERANDO: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Que el procedimiento de doble lectura ha sido previsto por la Carta Orgánica Municipal en los artículos 100 y 101, para el tratamiento legislativo de materias determinadas. La característica diferencial del mismo consiste en la existencia de dos instancias de tratamiento del proyecto por parte del Concejo Deliberante –una inicial y otra final-, en cuyo período intermedio puede llevarse a cabo una audiencia pública. </w:t>
      </w:r>
    </w:p>
    <w:p w:rsidR="00000000" w:rsidDel="00000000" w:rsidP="00000000" w:rsidRDefault="00000000" w:rsidRPr="00000000" w14:paraId="00000009">
      <w:pPr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        Que por el artículo nº 100 de la Carta Orgánica Municipal, se requiere doble lectura para la sanción de las ordenanzas que dispongan; </w:t>
      </w:r>
    </w:p>
    <w:p w:rsidR="00000000" w:rsidDel="00000000" w:rsidP="00000000" w:rsidRDefault="00000000" w:rsidRPr="00000000" w14:paraId="0000000A">
      <w:pPr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        Que además están sujetas al procedimiento de doble lectura todas aquellas ordenanzas que indique la Carta Orgánica Municipal.</w:t>
      </w:r>
    </w:p>
    <w:p w:rsidR="00000000" w:rsidDel="00000000" w:rsidP="00000000" w:rsidRDefault="00000000" w:rsidRPr="00000000" w14:paraId="0000000B">
      <w:pPr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 Que en el año 2010 se emitieron dos resoluciones para establecer el procedimiento de Doble Lectura, la Resolución N° 03/10 y su modificatoria Resolución 33/10;</w:t>
      </w:r>
    </w:p>
    <w:p w:rsidR="00000000" w:rsidDel="00000000" w:rsidP="00000000" w:rsidRDefault="00000000" w:rsidRPr="00000000" w14:paraId="0000000C">
      <w:pPr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        Que según técnica legislativa para reglamentar y normar el procedimiento correcto es por medio de la disposición de Ordenanza; </w:t>
      </w:r>
    </w:p>
    <w:p w:rsidR="00000000" w:rsidDel="00000000" w:rsidP="00000000" w:rsidRDefault="00000000" w:rsidRPr="00000000" w14:paraId="0000000D">
      <w:pPr>
        <w:tabs>
          <w:tab w:val="left" w:leader="none" w:pos="2880"/>
        </w:tabs>
        <w:spacing w:after="280" w:before="280" w:lineRule="auto"/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Por ello y conforme a lo dispuesto en el Art. 107 de la Carta Orgánica Municipal</w:t>
      </w:r>
    </w:p>
    <w:p w:rsidR="00000000" w:rsidDel="00000000" w:rsidP="00000000" w:rsidRDefault="00000000" w:rsidRPr="00000000" w14:paraId="0000000E">
      <w:pPr>
        <w:tabs>
          <w:tab w:val="left" w:leader="none" w:pos="2880"/>
        </w:tabs>
        <w:jc w:val="center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El Concejo Deliberante de la Municipalidad de Villa La Angostura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2880"/>
        </w:tabs>
        <w:jc w:val="center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SANCIONA CON FUERZA 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2880"/>
        </w:tabs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ORDENANZA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ARTÍCULO 1º: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Establézcase el Procedimiento de Doble Lectura conforme a lo estipulado en el Articulo Nº 101 de la Carta Orgánica Municipal. -</w:t>
      </w:r>
    </w:p>
    <w:p w:rsidR="00000000" w:rsidDel="00000000" w:rsidP="00000000" w:rsidRDefault="00000000" w:rsidRPr="00000000" w14:paraId="00000012">
      <w:pPr>
        <w:tabs>
          <w:tab w:val="left" w:leader="none" w:pos="1246"/>
          <w:tab w:val="left" w:leader="none" w:pos="1983"/>
        </w:tabs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ARTÍCULO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2º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: Se requerirán Doble Lectura en los siguientes casos y en todos los casos que sean indicados específicamente en la Carta Orgánica Municipal: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before="28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Privatizar obras, servicios y funciones del municipio.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Otorgar el uso continuado y exclusivo de bienes de dominio público municipal.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Crear empresas municipales y de economía mixta.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Aprobar los pliegos de bases y condiciones para concesión o locación de obras y servicios públicos.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Crear nuevos tributos o aumentar los existentes.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Autorizar la concesión de obra pública por más de (10) años.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Autorizar la concesión o locación de servicios públicos por más de (10) años.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Contraer empréstitos y créditos públicos o comprometer fondos coparticipables que superen el periodo de gestión de gobierno.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Autorizar la licitación pública de servicios públicos.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Declarar de Utilidad Pública.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280" w:before="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La enajenación de bienes inmuebles.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1246"/>
          <w:tab w:val="left" w:leader="none" w:pos="1983"/>
        </w:tabs>
        <w:spacing w:after="280" w:before="280" w:lineRule="auto"/>
        <w:jc w:val="both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1246"/>
          <w:tab w:val="left" w:leader="none" w:pos="1983"/>
        </w:tabs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ARTÍCULO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3º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bCs w:val="1"/>
          <w:u w:val="single"/>
          <w:vertAlign w:val="baseline"/>
          <w:rtl w:val="0"/>
        </w:rPr>
        <w:t xml:space="preserve">PROCEDIMIENTO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20">
      <w:pPr>
        <w:tabs>
          <w:tab w:val="left" w:leader="none" w:pos="1246"/>
          <w:tab w:val="left" w:leader="none" w:pos="1983"/>
        </w:tabs>
        <w:spacing w:after="280" w:before="28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Para </w:t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sancionar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los proyectos de ordenanzas por el procedimiento de Doble Lectura, se realizan dos (2) lecturas mediando un plazo no menor de treinta (30) días corridos entre ambas.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426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PRIMERA LECTURA: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426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426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Se presentará un proyecto de ordenanza acompañado de un proyecto de </w:t>
      </w: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RESOLUCIÓN DEL CONCEJO DELIBERANTE,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debiendo registrarse numeración correlativa, título, año, número de acta de aprobación de acuerdo a los registros oficiales determinados.</w:t>
      </w:r>
    </w:p>
    <w:p w:rsidR="00000000" w:rsidDel="00000000" w:rsidP="00000000" w:rsidRDefault="00000000" w:rsidRPr="00000000" w14:paraId="00000024">
      <w:pPr>
        <w:ind w:left="426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En el 1er artículo se colocará el Título propuesto para la Ordenanza final.</w:t>
      </w:r>
    </w:p>
    <w:p w:rsidR="00000000" w:rsidDel="00000000" w:rsidP="00000000" w:rsidRDefault="00000000" w:rsidRPr="00000000" w14:paraId="00000025">
      <w:pPr>
        <w:ind w:left="426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Se deberá dar amplia difusión al despacho resultante de la primera lectura. En este periodo puede realizarse una Audiencia Pública, y Registro de Oposición, teniendo especial cuidado de invitar a las personas y entidades interesadas directamente en su discusión. En todos los casos se requiere el voto favorable de los tercios (2/3) del total de los miembros del Cuerpo para aprobar el proyecto de ordenanza en ambas lecturas.</w:t>
      </w:r>
    </w:p>
    <w:p w:rsidR="00000000" w:rsidDel="00000000" w:rsidP="00000000" w:rsidRDefault="00000000" w:rsidRPr="00000000" w14:paraId="00000026">
      <w:pPr>
        <w:ind w:left="720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426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SEGUNDA LECTURA: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426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426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Se presentará el proyecto definitivo de Ordenanza, el cual será votado en   todos los casos con el voto favorable de los tercios (2/3) del total de los miembros del cuerpo.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ARTICULO 4º: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REGISTRO: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Mediante Secretaria se creará un Registro de Proyectos de Ordenanza por el Procedimiento de Doble Lectura.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ARTICULO 5º: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caso de que un proyecto solo sea aprobado en 1er Lectura, y no siga el procedimiento de la 2da Lectura, se procederá a dar la baja del mismo, respetando el tiempo estipulado en el art.112 de la Carta Orgánica Municipal.-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ARTÍCULO 6º: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 VEZ sancionada la siguiente norma dejara de tener validez las Resoluciones N° 03/10 y N° 33/10.- </w:t>
      </w:r>
    </w:p>
    <w:p w:rsidR="00000000" w:rsidDel="00000000" w:rsidP="00000000" w:rsidRDefault="00000000" w:rsidRPr="00000000" w14:paraId="0000002E">
      <w:pPr>
        <w:tabs>
          <w:tab w:val="left" w:leader="none" w:pos="2880"/>
        </w:tabs>
        <w:jc w:val="both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2880"/>
        </w:tabs>
        <w:jc w:val="both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ARTICULO 7°: PASE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al Departamento Ejecutivo Municipal para su promulgación Comuníquese. Regístrese. Publíquese. Cumplido. Archívese.-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Dada en la Sala de Sesiones Don Humberto Rolando del Concejo Deliberante, a los diecinueve días del mes de abril de 2017, en Sesión Ordinaria N°IV, Acta N°1648.-</w:t>
      </w:r>
    </w:p>
    <w:p w:rsidR="00000000" w:rsidDel="00000000" w:rsidP="00000000" w:rsidRDefault="00000000" w:rsidRPr="00000000" w14:paraId="0000003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right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</w:t>
      </w:r>
    </w:p>
    <w:p w:rsidR="00000000" w:rsidDel="00000000" w:rsidP="00000000" w:rsidRDefault="00000000" w:rsidRPr="00000000" w14:paraId="00000035">
      <w:pPr>
        <w:tabs>
          <w:tab w:val="left" w:leader="none" w:pos="0"/>
        </w:tabs>
        <w:ind w:right="-133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Fdo. Amanda B. Rial (Presidente CD)    Decreto N° 1029/2017.-  BOM N°281/Abril 2017</w:t>
      </w:r>
    </w:p>
    <w:p w:rsidR="00000000" w:rsidDel="00000000" w:rsidP="00000000" w:rsidRDefault="00000000" w:rsidRPr="00000000" w14:paraId="00000036">
      <w:pPr>
        <w:tabs>
          <w:tab w:val="left" w:leader="none" w:pos="0"/>
        </w:tabs>
        <w:ind w:right="-133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Mariana Cerruti (Secretaria CD)</w:t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vertAlign w:val="baseline"/>
        </w:rPr>
      </w:pPr>
      <w:bookmarkStart w:colFirst="0" w:colLast="0" w:name="_90isjbayuefo" w:id="0"/>
      <w:bookmarkEnd w:id="0"/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38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                                   </w:t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Arial" w:cs="Arial" w:eastAsia="Arial" w:hAnsi="Arial"/>
          <w:vertAlign w:val="baseline"/>
        </w:rPr>
      </w:pPr>
      <w:bookmarkStart w:colFirst="0" w:colLast="0" w:name="_um0vjquqdppb" w:id="1"/>
      <w:bookmarkEnd w:id="1"/>
      <w:r w:rsidDel="00000000" w:rsidR="00000000" w:rsidRPr="00000000">
        <w:rPr>
          <w:rFonts w:ascii="Arial" w:cs="Arial" w:eastAsia="Arial" w:hAnsi="Arial"/>
          <w:vertAlign w:val="baseline"/>
        </w:rPr>
        <w:drawing>
          <wp:inline distB="0" distT="0" distL="114300" distR="114300">
            <wp:extent cx="4648200" cy="768096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76809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even"/>
      <w:pgSz w:h="20163" w:w="12242" w:orient="portrait"/>
      <w:pgMar w:bottom="1418" w:top="1418" w:left="1134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Bookman Old Style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left" w:leader="none" w:pos="792"/>
        <w:tab w:val="left" w:leader="none" w:pos="864"/>
        <w:tab w:val="left" w:leader="none" w:pos="4680"/>
        <w:tab w:val="left" w:leader="none" w:pos="4860"/>
        <w:tab w:val="left" w:leader="none" w:pos="7130"/>
        <w:tab w:val="right" w:leader="none" w:pos="10257"/>
      </w:tabs>
      <w:spacing w:after="0" w:before="0" w:line="240" w:lineRule="auto"/>
      <w:ind w:left="0" w:right="0" w:firstLine="0"/>
      <w:jc w:val="left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5"/>
        <w:szCs w:val="15"/>
        <w:u w:val="none"/>
        <w:shd w:fill="auto" w:val="clear"/>
        <w:vertAlign w:val="baseline"/>
      </w:rPr>
    </w:pP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ab/>
      <w:t xml:space="preserve">          Municipalidad de Villa la Angostura</w:t>
      <w:tab/>
      <w:tab/>
      <w:tab/>
    </w: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-69213</wp:posOffset>
          </wp:positionH>
          <wp:positionV relativeFrom="paragraph">
            <wp:posOffset>-146683</wp:posOffset>
          </wp:positionV>
          <wp:extent cx="685800" cy="800100"/>
          <wp:effectExtent b="0" l="0" r="0" t="0"/>
          <wp:wrapTopAndBottom distB="0" distT="0"/>
          <wp:docPr descr="Escudo" id="2" name="image2.png"/>
          <a:graphic>
            <a:graphicData uri="http://schemas.openxmlformats.org/drawingml/2006/picture">
              <pic:pic>
                <pic:nvPicPr>
                  <pic:cNvPr descr="Escudo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800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4109720</wp:posOffset>
          </wp:positionH>
          <wp:positionV relativeFrom="paragraph">
            <wp:posOffset>-200022</wp:posOffset>
          </wp:positionV>
          <wp:extent cx="1599565" cy="1005840"/>
          <wp:effectExtent b="0" l="0" r="0" t="0"/>
          <wp:wrapNone/>
          <wp:docPr descr="Logo Concejo Deliberante 2" id="1" name="image1.png"/>
          <a:graphic>
            <a:graphicData uri="http://schemas.openxmlformats.org/drawingml/2006/picture">
              <pic:pic>
                <pic:nvPicPr>
                  <pic:cNvPr descr="Logo Concejo Deliberante 2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99565" cy="1005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left" w:leader="none" w:pos="7740"/>
        <w:tab w:val="left" w:leader="none" w:pos="8784"/>
      </w:tabs>
      <w:spacing w:after="0" w:before="0" w:line="240" w:lineRule="auto"/>
      <w:ind w:left="851" w:right="0" w:firstLine="0"/>
      <w:jc w:val="both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       Concejo Deliberante</w:t>
      <w:tab/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851" w:right="0" w:firstLine="0"/>
      <w:jc w:val="both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       Bvd. Nahuel Huapí Nº 427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left" w:leader="none" w:pos="8838"/>
      </w:tabs>
      <w:spacing w:after="0" w:before="0" w:line="240" w:lineRule="auto"/>
      <w:ind w:left="851" w:right="0" w:firstLine="0"/>
      <w:jc w:val="both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      Telefax 0294-4494261</w:t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left" w:leader="none" w:pos="792"/>
        <w:tab w:val="left" w:leader="none" w:pos="7130"/>
        <w:tab w:val="right" w:leader="none" w:pos="10257"/>
      </w:tabs>
      <w:spacing w:after="0" w:before="0" w:line="240" w:lineRule="auto"/>
      <w:ind w:left="0" w:right="0" w:firstLine="0"/>
      <w:jc w:val="left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5"/>
        <w:szCs w:val="15"/>
        <w:u w:val="none"/>
        <w:shd w:fill="auto" w:val="clear"/>
        <w:vertAlign w:val="baseline"/>
      </w:rPr>
    </w:pP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                      (8407) Villa la Angostura (Neuquén</w:t>
    </w:r>
    <w:r w:rsidDel="00000000" w:rsidR="00000000" w:rsidRPr="00000000">
      <w:rPr>
        <w:rFonts w:ascii="Bookman Old Style" w:cs="Bookman Old Style" w:eastAsia="Bookman Old Style" w:hAnsi="Bookman Old Style"/>
        <w:b w:val="1"/>
        <w:bCs w:val="1"/>
        <w:i w:val="1"/>
        <w:iCs w:val="1"/>
        <w:smallCaps w:val="0"/>
        <w:strike w:val="0"/>
        <w:color w:val="000000"/>
        <w:sz w:val="15"/>
        <w:szCs w:val="15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851" w:right="0" w:firstLine="0"/>
      <w:jc w:val="both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left" w:leader="none" w:pos="4452"/>
        <w:tab w:val="left" w:leader="none" w:pos="4884"/>
      </w:tabs>
      <w:spacing w:after="0" w:before="0" w:line="240" w:lineRule="auto"/>
      <w:ind w:left="851" w:right="0" w:firstLine="0"/>
      <w:jc w:val="both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ab/>
      <w:t xml:space="preserve">Año del Centenario del Nacimiento del Gobernador Felipe Sapag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Bookman Old Style" w:cs="Bookman Old Style" w:eastAsia="Bookman Old Style" w:hAnsi="Bookman Old Styl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Bookman Old Style" w:cs="Bookman Old Style" w:eastAsia="Bookman Old Style" w:hAnsi="Bookman Old Style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drawing>
        <wp:inline distB="0" distT="0" distL="114300" distR="114300">
          <wp:extent cx="2160905" cy="1417320"/>
          <wp:effectExtent b="0" l="0" r="0" t="0"/>
          <wp:docPr id="4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0905" cy="14173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Bookman Old Style" w:cs="Bookman Old Style" w:eastAsia="Bookman Old Style" w:hAnsi="Bookman Old Style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