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Villa La Angostura, 26 de Febrero 2026. </w:t>
      </w:r>
    </w:p>
    <w:p w:rsidR="00000000" w:rsidDel="00000000" w:rsidP="00000000" w:rsidRDefault="00000000" w:rsidRPr="00000000" w14:paraId="0000000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Municipalidad de Villa La Angostura. </w:t>
      </w:r>
    </w:p>
    <w:p w:rsidR="00000000" w:rsidDel="00000000" w:rsidP="00000000" w:rsidRDefault="00000000" w:rsidRPr="00000000" w14:paraId="0000000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 Presidente del Concejo Deliberante</w:t>
      </w:r>
    </w:p>
    <w:p w:rsidR="00000000" w:rsidDel="00000000" w:rsidP="00000000" w:rsidRDefault="00000000" w:rsidRPr="00000000" w14:paraId="00000004">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u w:val="single"/>
          <w:rtl w:val="0"/>
        </w:rPr>
        <w:t xml:space="preserve">MOTIVO </w:t>
      </w:r>
      <w:r w:rsidDel="00000000" w:rsidR="00000000" w:rsidRPr="00000000">
        <w:rPr>
          <w:rFonts w:ascii="Times New Roman" w:cs="Times New Roman" w:eastAsia="Times New Roman" w:hAnsi="Times New Roman"/>
          <w:b w:val="1"/>
          <w:bCs w:val="1"/>
          <w:sz w:val="24"/>
          <w:szCs w:val="24"/>
          <w:rtl w:val="0"/>
        </w:rPr>
        <w:t xml:space="preserve">Ref. Expte </w:t>
      </w:r>
      <w:r w:rsidDel="00000000" w:rsidR="00000000" w:rsidRPr="00000000">
        <w:rPr>
          <w:rFonts w:ascii="Times New Roman" w:cs="Times New Roman" w:eastAsia="Times New Roman" w:hAnsi="Times New Roman"/>
          <w:sz w:val="24"/>
          <w:szCs w:val="24"/>
          <w:rtl w:val="0"/>
        </w:rPr>
        <w:t xml:space="preserve"> N° 399-SHyMM-2025/ </w:t>
      </w:r>
      <w:r w:rsidDel="00000000" w:rsidR="00000000" w:rsidRPr="00000000">
        <w:rPr>
          <w:rFonts w:ascii="Times New Roman" w:cs="Times New Roman" w:eastAsia="Times New Roman" w:hAnsi="Times New Roman"/>
          <w:b w:val="1"/>
          <w:bCs w:val="1"/>
          <w:sz w:val="24"/>
          <w:szCs w:val="24"/>
          <w:rtl w:val="0"/>
        </w:rPr>
        <w:t xml:space="preserve">Resolución Doble  Lectura  Nro.  03/2025. – Vinculado con proyecto Presupuesto 2026.- Plan de Gobierno 2026-2027 – Memo Nro 196/25</w:t>
      </w:r>
    </w:p>
    <w:p w:rsidR="00000000" w:rsidDel="00000000" w:rsidP="00000000" w:rsidRDefault="00000000" w:rsidRPr="00000000" w14:paraId="00000005">
      <w:pPr>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Formular oposición conforme plazo dispuesto por Resolución Doble  Lectura  Nro.  03/2025. Presentar consultas y observaciones. Solicitar acceso a la información pública y dar explicaciones previo a resolver. </w:t>
      </w:r>
    </w:p>
    <w:p w:rsidR="00000000" w:rsidDel="00000000" w:rsidP="00000000" w:rsidRDefault="00000000" w:rsidRPr="00000000" w14:paraId="00000006">
      <w:pPr>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 Por la presente, en nuestro carácter de vecinos integrantes de la Junta Vecinal de Barrio El Once, nos presentamos en tiempo y forma, a los fines de formular oposición atento a los aumentos, pautas y condiciones dispuestos en el proyecto de Código Tarifario 2026, conforme lo dispuesto en la Resolución de Doble Lectura Nro 03/2025. </w:t>
      </w:r>
    </w:p>
    <w:p w:rsidR="00000000" w:rsidDel="00000000" w:rsidP="00000000" w:rsidRDefault="00000000" w:rsidRPr="00000000" w14:paraId="00000008">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Se formulan observaciones y se solicitan se den las explicaciones, aclaraciones y especificaciones, y en todo caso, se revise y se disponga reformular lo planteado por el PEM.  Asimismo, se plantean comparaciones, dudas y aspectos necesarios para considerar en el presupuesto 2026 presentado. </w:t>
      </w:r>
    </w:p>
    <w:p w:rsidR="00000000" w:rsidDel="00000000" w:rsidP="00000000" w:rsidRDefault="00000000" w:rsidRPr="00000000" w14:paraId="00000009">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II.- Los fundamentos de mi oposición  son los siguientes: </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 formulan idénticos y textuales “considerandos” en el proyecto de Código Tarifario 2026 que los expresados en el Código Tarifario 2025. Específicamente se mencionan los siguientes: </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3er considerando indica “lograr el eficiente funcionamiento en sintonía con un modelo de desarrollo sustentable y sostenible en el tiempo…”</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4to considerando dice “Dar una adecuada respuesta ante el complicado escenario socio económico que nuestro país se encuentra atravesando…”</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108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El 6to considerando menciona “… Que la Carta Orgánica Municipal establece… considerando el planeamiento urbano y el uso apropiado de la tierra…”</w:t>
      </w:r>
    </w:p>
    <w:p w:rsidR="00000000" w:rsidDel="00000000" w:rsidP="00000000" w:rsidRDefault="00000000" w:rsidRPr="00000000" w14:paraId="0000000E">
      <w:pPr>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Observaciones:</w:t>
      </w:r>
      <w:r w:rsidDel="00000000" w:rsidR="00000000" w:rsidRPr="00000000">
        <w:rPr>
          <w:rFonts w:ascii="Times New Roman" w:cs="Times New Roman" w:eastAsia="Times New Roman" w:hAnsi="Times New Roman"/>
          <w:sz w:val="24"/>
          <w:szCs w:val="24"/>
          <w:rtl w:val="0"/>
        </w:rPr>
        <w:t xml:space="preserve"> las circunstancias económicas se han modificado, los parámetros de la inflación son relativamente bajos, no se ha logrado eficiencia en el funcionamiento de la administración municipal sino que hay más empleados, más áreas y menos calidad en los servicios públicos que se brindan. Resulta obvio mencionar la falta de previsión con relación a la falta de agua, la enorme suma pagada para comprar nuevas bombas (desconociendo todavía qué pasó con las tres que se compraron a fines del 2024); la falta de transparencia en la asignación de recursos – tanto humanos como financieros- en cada dependencia municipal, numerosos inmuebles alquilados para que “funcionen” las dependencias municipales, horas extras a valores elevados, falta de planificación, precariedad en los servicios esenciales, entre otros. Por lo que ninguno de estos considerandos se refleja o relacionan con la realidad o las intenciones que se indican. </w:t>
      </w:r>
    </w:p>
    <w:p w:rsidR="00000000" w:rsidDel="00000000" w:rsidP="00000000" w:rsidRDefault="00000000" w:rsidRPr="00000000" w14:paraId="0000000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Para el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“uso residencial”,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se establecen montos mínimos según los metros cuadrados construidos (hasta 300m2, de 300 a 700m2 y más de 700m2. En estos casos, ¿se tienen en cuenta planos aprobados? ¿Cómo se constatan estas condiciones de cada lote en cuestión? ¿Se ha cotejado con la Dirección de Obras Particulares la cantidad de nomenclaturas que cuentan con planos, las que no y las que no registran nomenclaturas catastrales por no estar regularizados los dominios ante el RPI? Ej loteos sociales, ocupaciones, etc</w:t>
      </w:r>
    </w:p>
    <w:p w:rsidR="00000000" w:rsidDel="00000000" w:rsidP="00000000" w:rsidRDefault="00000000" w:rsidRPr="00000000" w14:paraId="0000001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Si bien se entiende que actualizar un treinta por ciento (30%) resulta razonable, observamos que se plantean proporciones a distribuirse según recolección de residuos, tratamiento de residuos y barrido y mantenimiento de calles, -que no se cuestiona en absoluto- advirtiéndose que para dicho cálculo se dispone -en cada ítem-  lo siguiente: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Alumbrado Público</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Por cada metro de frente, por mes 2,83 puntos, multiplicados por cantidad de UF en el mismo. </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Recolección de residuos: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Por cada m² de superficie cubierta construida por        mes: </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1.24 puntos.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bCs w:val="1"/>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Servicio Ambiental de Tratamiento de Residuos Sólidos: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Por cada m² de superficie cubierta construida por mes: </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1.47 puntos.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Barrido y mantenimiento de calles: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Por cada metro de frente, por mes: </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2.58 puntos.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En caso de existir más de una unidad funcional o unidad de dominio exclusivo en el inmueble, el resultado del cálculo anterior se multiplicará por la cantidad de unidades funcionales existentes en el mismo.</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Entonces la consulta es </w:t>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¿se estaría considerando metros de frente, metros cubiertos y luego multiplicando nuevamente? Esto genera un aumento considerable y mucho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single"/>
          <w:shd w:fill="auto" w:val="clear"/>
          <w:vertAlign w:val="baseline"/>
          <w:rtl w:val="0"/>
        </w:rPr>
        <w:t xml:space="preserve">más del 30% (treinta por ciento)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que “se actualiza” el valor del punto o el valor N.</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Al indicarse</w:t>
      </w:r>
      <w:r w:rsidDel="00000000" w:rsidR="00000000" w:rsidRPr="00000000">
        <w:rPr>
          <w:rFonts w:ascii="Times New Roman" w:cs="Times New Roman" w:eastAsia="Times New Roman" w:hAnsi="Times New Roman"/>
          <w:b w:val="1"/>
          <w:bCs w:val="1"/>
          <w:i w:val="1"/>
          <w:iCs w:val="1"/>
          <w:smallCaps w:val="0"/>
          <w:strike w:val="0"/>
          <w:color w:val="000000"/>
          <w:sz w:val="24"/>
          <w:szCs w:val="24"/>
          <w:u w:val="none"/>
          <w:shd w:fill="auto" w:val="clear"/>
          <w:vertAlign w:val="baseline"/>
          <w:rtl w:val="0"/>
        </w:rPr>
        <w:t xml:space="preserve"> “en caso de existir más de una unidad funcional o unidad de dominio exclusivo en el inmueble</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 qué se refiere el concepto “unidad de dominio”? en caso de inmuebles con diferentes edificaciones, se trata de una determinada nomenclatura catastral, puede haber subdivisiones; y en caso de lotes considerados en PH, hay unidades funcionales.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Estos conceptos no son claros, la “unidad de dominio” no figura dentro de las definiciones establecidas por la Dirección Provincial de Catastro (esto puede ser verificado por un agrimensor, a quien se le planteó esta inquietud previamente)</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Luego,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el Art 17 menciona la “Contribución para infraestructura y equipamiento local” (FIEL – Ordenanza 2652/12, porcentaje Arts 4 y 5).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La oposición se basa en que dicha ordenanza fue pensada, elaborada y aplicada en un contexto port emergencia volcán (año 2011) cuando la MVLA no contaba con camiones de distinto tipo ni maquinaria pesada propia, y que esto había resultado un inconveniente para atender lo ocurrido. Hoy seguir insistiendo con trasladar al contribuyente la compra de materiales, insumos o equipamiento que ya posee el municipio o que podría obtenerse administrando de manera eficiente o gestionando recursos de otros niveles de gobierno, resulta inexplicable e inaceptable.</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Finalmente, considerar lo planteado en el Art 50 del proyecto de ordenanza, referido al pago de patentes de rodados, en el que se incrementa de un 2% (dos por ciento) a un 2,5% (dos con cinto por ciento) cuando los valores de los mismos se actualizan conforme lo dispone el RPA (Registro de la Propiedad Automotor), por lo que resulta un detalle no menor, cuando existen cada vez más rodados, las calles no tienen el adecuado mantenimiento, y esto ocasiona, necesariamente un deterioro de nuestros vehículos, por lo que no  se justifica dicho “aumento”. Entendemos que no debe modificarse el porcentaje actual establecido. </w:t>
      </w:r>
    </w:p>
    <w:p w:rsidR="00000000" w:rsidDel="00000000" w:rsidP="00000000" w:rsidRDefault="00000000" w:rsidRPr="00000000" w14:paraId="0000001E">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III.- Analizando el Presupuesto 2025 vigente, en el que se indica el monto final de pesos veintiocho millones doscientos cincuenta y ocho mil ochocientos treinta y cuatro ($28.558.834),  se menciona un total de agentes de 428 (cuatrocientos veintiocho) – entre ellos se distingue un total de Administración Central de 375 (trescientos setenta y cinco), de los cuales 321 (trescientos veintiuno) son de planta permanente y 53 (cincuenta y tres) personal político (31 Departamento Ejecutivo y 20 Concejo Deliberante). </w:t>
      </w:r>
    </w:p>
    <w:p w:rsidR="00000000" w:rsidDel="00000000" w:rsidP="00000000" w:rsidRDefault="00000000" w:rsidRPr="00000000" w14:paraId="0000002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 Luego, se observa que en el proyecto de presupuesto 2026/27 de fecha 3/11/2025, en el punto 4) refiere al “presupuesto participativo”, cuando el alcance previsto en la Carta Orgánica Municipal es mucho más que consultar a las juntas vecinales sobre las prioridades o requerimientos. Se refiere a blanquear los números, dar información, generar reuniones, analizar las realidades de cada barrio, planificar en base a esta información, entre otros aspectos. </w:t>
      </w:r>
    </w:p>
    <w:p w:rsidR="00000000" w:rsidDel="00000000" w:rsidP="00000000" w:rsidRDefault="00000000" w:rsidRPr="00000000" w14:paraId="00000021">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Menciona en la política de gastos, una “gestión financiera ágil,  rigurosa y transparente”, se habla de “equidad fiscal”, de la “redistribución municipal en ocho (8) áreas”, de un “plan de trabajo de mejoras barriales”, siendo que todo esto no se cumple ni se buscan generar condiciones para lograrlo. </w:t>
      </w:r>
    </w:p>
    <w:p w:rsidR="00000000" w:rsidDel="00000000" w:rsidP="00000000" w:rsidRDefault="00000000" w:rsidRPr="00000000" w14:paraId="0000002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 Se indica que el total de gastos previsto para 2026 es $58.501.883,710 (cincuenta y ocho millones quinientos un mil ochocientos ochenta y tres), que un 14% (catorce por ciento) del presupuesto es para obra pública, que de este total de gastos solamente un 20,71 (veinte con setenta y un por ciento) se hace con “recursos propios” (suma que equivale a $12.117.307,402 – doce millones ciento diecisiete mil trescientos siete).  Se menciona crear un “parque central urbano” y “obras que potencien el predio céntrico en el que se construirán la Escuela 361 y Epet 28”. Esto último no resulta claro a qué tipo de obras se refiere. </w:t>
      </w:r>
    </w:p>
    <w:p w:rsidR="00000000" w:rsidDel="00000000" w:rsidP="00000000" w:rsidRDefault="00000000" w:rsidRPr="00000000" w14:paraId="00000023">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Finalmente se hace un relevamiento por áreas, donde varias solicitan vehículos propios (por ejemplo Atención al Vecino, o un vehículo 4x4 para fiscalizar obras para la Secretaria de Planificación, o un vehículo 4x4 doble cabina para la Secretaría de Gobierno). </w:t>
      </w:r>
    </w:p>
    <w:p w:rsidR="00000000" w:rsidDel="00000000" w:rsidP="00000000" w:rsidRDefault="00000000" w:rsidRPr="00000000" w14:paraId="0000002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Entre los gastos que se proyectan, se indica la “contratación de empresa de marketing digital: y la “contratación de influencers”, para citar ejemplos. </w:t>
      </w:r>
    </w:p>
    <w:p w:rsidR="00000000" w:rsidDel="00000000" w:rsidP="00000000" w:rsidRDefault="00000000" w:rsidRPr="00000000" w14:paraId="00000025">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Por ello, se formulan las siguientes observaciones: </w:t>
      </w:r>
    </w:p>
    <w:p w:rsidR="00000000" w:rsidDel="00000000" w:rsidP="00000000" w:rsidRDefault="00000000" w:rsidRPr="00000000" w14:paraId="0000002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¿Cuánto es lo que se recauda actualmente? ¿hay un relevamiento por barrios referido a morosidad? </w:t>
      </w:r>
    </w:p>
    <w:p w:rsidR="00000000" w:rsidDel="00000000" w:rsidP="00000000" w:rsidRDefault="00000000" w:rsidRPr="00000000" w14:paraId="0000002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¿Cuáles serían las estrategias para mejorar la cobrabilidad y ampliar la base tributaria existente? </w:t>
      </w:r>
    </w:p>
    <w:p w:rsidR="00000000" w:rsidDel="00000000" w:rsidP="00000000" w:rsidRDefault="00000000" w:rsidRPr="00000000" w14:paraId="000000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¿Qué cantidad de empleados tiene hoy la administración municipal según las áreas y condiciones laborales (planta permanente, temporaria, contratados, políticos, asesores, etc)?</w:t>
      </w:r>
    </w:p>
    <w:p w:rsidR="00000000" w:rsidDel="00000000" w:rsidP="00000000" w:rsidRDefault="00000000" w:rsidRPr="00000000" w14:paraId="000000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¿Es necesario contratar empresas de marketing digital o influencers? ¿Esto qué costo tendría? ¿Se evalúan otras alternativas de promoción turística?</w:t>
      </w:r>
    </w:p>
    <w:p w:rsidR="00000000" w:rsidDel="00000000" w:rsidP="00000000" w:rsidRDefault="00000000" w:rsidRPr="00000000" w14:paraId="0000002A">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jc w:val="both"/>
        <w:rPr>
          <w:rFonts w:ascii="Times New Roman" w:cs="Times New Roman" w:eastAsia="Times New Roman" w:hAnsi="Times New Roman"/>
          <w:sz w:val="24"/>
          <w:szCs w:val="24"/>
        </w:rPr>
      </w:pPr>
      <w:bookmarkStart w:colFirst="0" w:colLast="0" w:name="_27fsmbwdu4ez" w:id="0"/>
      <w:bookmarkEnd w:id="0"/>
      <w:r w:rsidDel="00000000" w:rsidR="00000000" w:rsidRPr="00000000">
        <w:rPr>
          <w:rFonts w:ascii="Times New Roman" w:cs="Times New Roman" w:eastAsia="Times New Roman" w:hAnsi="Times New Roman"/>
          <w:sz w:val="24"/>
          <w:szCs w:val="24"/>
          <w:rtl w:val="0"/>
        </w:rPr>
        <w:t xml:space="preserve">                                                      IV.- Por último y a modo de ejemplo de lo que entendemos no condice en absoluto con una administración eficiente, transparente y buscando optimizar recursos escasos, se cita lo dispuesto por el Decreto Nro 2243/2025 “Adicional Técnico por el manejo de fondos” de fecha 22 de septiembre de 2025 por el que se dispone (con firma de Secretario de Economía y de Intendente) un adicional de un quince por ciento (15%) sobre el sueldo básico de revista a todo el personal dependiente de la Dirección Contable de la Secretaría de Hacienda y Modernización, y en un diez por ciento (10%) al  personal de la Dirección de Recupero  y Recaudaciones, dentro de la citada secretaría. </w:t>
      </w:r>
    </w:p>
    <w:p w:rsidR="00000000" w:rsidDel="00000000" w:rsidP="00000000" w:rsidRDefault="00000000" w:rsidRPr="00000000" w14:paraId="0000002C">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V.- Saludamos atentamente, solicitando sea tenida en cuenta la oposición y observaciones formuladas, se haga lugar a las mismas, se disponga facilitar la información necesaria, se realicen las aclaraciones que correspondan, ello previo a decidir o resolver, entendiendo no es una mera exigencia, sino un derecho fundamental dentro de los parámetros democráticos que todos propiciamos, esto es, brindar información pública, promover un gobierno abierto y que las decisiones que toman unos pocos – y afectan a todos- sean informadas, debatidas y fundadas. </w:t>
      </w:r>
    </w:p>
    <w:p w:rsidR="00000000" w:rsidDel="00000000" w:rsidP="00000000" w:rsidRDefault="00000000" w:rsidRPr="00000000" w14:paraId="0000002E">
      <w:pPr>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2F">
      <w:pPr>
        <w:jc w:val="both"/>
        <w:rPr>
          <w:rFonts w:ascii="Times New Roman" w:cs="Times New Roman" w:eastAsia="Times New Roman" w:hAnsi="Times New Roman"/>
          <w:sz w:val="24"/>
          <w:szCs w:val="24"/>
        </w:rPr>
      </w:pPr>
      <w:r w:rsidDel="00000000" w:rsidR="00000000" w:rsidRPr="00000000">
        <w:rPr>
          <w:rFonts w:ascii="Arial" w:cs="Arial" w:eastAsia="Arial" w:hAnsi="Arial"/>
          <w:sz w:val="24"/>
          <w:szCs w:val="24"/>
          <w:rtl w:val="0"/>
        </w:rPr>
        <w:tab/>
        <w:tab/>
      </w:r>
      <w:r w:rsidDel="00000000" w:rsidR="00000000" w:rsidRPr="00000000">
        <w:rPr>
          <w:rtl w:val="0"/>
        </w:rPr>
      </w:r>
    </w:p>
    <w:p w:rsidR="00000000" w:rsidDel="00000000" w:rsidP="00000000" w:rsidRDefault="00000000" w:rsidRPr="00000000" w14:paraId="00000030">
      <w:pPr>
        <w:jc w:val="both"/>
        <w:rPr>
          <w:rFonts w:ascii="Times New Roman" w:cs="Times New Roman" w:eastAsia="Times New Roman" w:hAnsi="Times New Roman"/>
          <w:sz w:val="24"/>
          <w:szCs w:val="24"/>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2"/>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