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E61A3" w14:textId="5D4877F8" w:rsidR="00D92923" w:rsidRDefault="00EA637A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</w:rPr>
      </w:pPr>
      <w:bookmarkStart w:id="0" w:name="_heading=h.h2l8hsmu1cd6" w:colFirst="0" w:colLast="0"/>
      <w:bookmarkEnd w:id="0"/>
      <w:r>
        <w:rPr>
          <w:rFonts w:ascii="Arial" w:eastAsia="Arial" w:hAnsi="Arial" w:cs="Arial"/>
          <w:b/>
          <w:bCs/>
          <w:color w:val="000000"/>
        </w:rPr>
        <w:t xml:space="preserve">                                                                                 </w:t>
      </w:r>
      <w:r w:rsidR="00F75385">
        <w:rPr>
          <w:rFonts w:ascii="Arial" w:eastAsia="Arial" w:hAnsi="Arial" w:cs="Arial"/>
          <w:b/>
          <w:bCs/>
          <w:color w:val="000000"/>
        </w:rPr>
        <w:t xml:space="preserve">        </w:t>
      </w:r>
      <w:r>
        <w:rPr>
          <w:rFonts w:ascii="Arial" w:eastAsia="Arial" w:hAnsi="Arial" w:cs="Arial"/>
          <w:b/>
          <w:bCs/>
          <w:color w:val="000000"/>
        </w:rPr>
        <w:t xml:space="preserve">ORDENANZA </w:t>
      </w:r>
      <w:proofErr w:type="spellStart"/>
      <w:r>
        <w:rPr>
          <w:rFonts w:ascii="Arial" w:eastAsia="Arial" w:hAnsi="Arial" w:cs="Arial"/>
          <w:b/>
          <w:bCs/>
          <w:color w:val="000000"/>
        </w:rPr>
        <w:t>Nº</w:t>
      </w:r>
      <w:proofErr w:type="spellEnd"/>
      <w:r>
        <w:rPr>
          <w:rFonts w:ascii="Arial" w:eastAsia="Arial" w:hAnsi="Arial" w:cs="Arial"/>
          <w:b/>
          <w:bCs/>
          <w:color w:val="000000"/>
        </w:rPr>
        <w:t xml:space="preserve"> </w:t>
      </w:r>
      <w:r w:rsidR="00F75385">
        <w:rPr>
          <w:rFonts w:ascii="Arial" w:eastAsia="Arial" w:hAnsi="Arial" w:cs="Arial"/>
          <w:b/>
          <w:bCs/>
          <w:color w:val="000000"/>
        </w:rPr>
        <w:t>4338</w:t>
      </w:r>
      <w:r>
        <w:rPr>
          <w:rFonts w:ascii="Arial" w:eastAsia="Arial" w:hAnsi="Arial" w:cs="Arial"/>
          <w:b/>
          <w:bCs/>
          <w:color w:val="000000"/>
        </w:rPr>
        <w:t>/2026.-</w:t>
      </w:r>
    </w:p>
    <w:p w14:paraId="73247D9C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</w:rPr>
      </w:pPr>
    </w:p>
    <w:p w14:paraId="59F3B561" w14:textId="77777777" w:rsidR="00D92923" w:rsidRDefault="00EA637A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  <w:between w:val="nil"/>
        </w:pBdr>
        <w:tabs>
          <w:tab w:val="left" w:pos="2268"/>
        </w:tabs>
        <w:spacing w:after="240"/>
        <w:jc w:val="center"/>
        <w:rPr>
          <w:rFonts w:ascii="Arial" w:eastAsia="Arial" w:hAnsi="Arial" w:cs="Arial"/>
          <w:b/>
          <w:bCs/>
          <w:smallCaps/>
          <w:color w:val="000000"/>
        </w:rPr>
      </w:pPr>
      <w:bookmarkStart w:id="1" w:name="_heading=h.feww8q15rost" w:colFirst="0" w:colLast="0"/>
      <w:bookmarkEnd w:id="1"/>
      <w:r>
        <w:rPr>
          <w:rFonts w:ascii="Arial" w:eastAsia="Arial" w:hAnsi="Arial" w:cs="Arial"/>
          <w:b/>
          <w:bCs/>
          <w:smallCaps/>
          <w:color w:val="000000"/>
        </w:rPr>
        <w:t>TÍTULO:</w:t>
      </w:r>
      <w:r>
        <w:rPr>
          <w:rFonts w:ascii="Arial" w:eastAsia="Arial" w:hAnsi="Arial" w:cs="Arial"/>
          <w:b/>
          <w:bCs/>
          <w:smallCaps/>
        </w:rPr>
        <w:t xml:space="preserve"> “APLICACIÓN DE LA TASA PLANEAMIENTO Y DESARROLLO RURAL Y SUBRURAL”.</w:t>
      </w:r>
    </w:p>
    <w:p w14:paraId="75823B74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VISTO</w:t>
      </w:r>
      <w:r>
        <w:rPr>
          <w:rFonts w:ascii="Arial" w:eastAsia="Arial" w:hAnsi="Arial" w:cs="Arial"/>
          <w:color w:val="000000"/>
        </w:rPr>
        <w:t xml:space="preserve">:  </w:t>
      </w:r>
    </w:p>
    <w:p w14:paraId="202FBC97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            </w:t>
      </w:r>
      <w:r>
        <w:rPr>
          <w:rFonts w:ascii="Arial" w:eastAsia="Arial" w:hAnsi="Arial" w:cs="Arial"/>
        </w:rPr>
        <w:t xml:space="preserve">El Expediente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399-SHyMM-2025, la Ordenanza 3212/2017, Carta Orgánica Municipal de Villa La Angostura, y</w:t>
      </w:r>
      <w:r>
        <w:rPr>
          <w:rFonts w:ascii="Arial" w:eastAsia="Arial" w:hAnsi="Arial" w:cs="Arial"/>
          <w:color w:val="000000"/>
        </w:rPr>
        <w:t xml:space="preserve"> </w:t>
      </w:r>
    </w:p>
    <w:p w14:paraId="6262B29D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7F6B0EFE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CONSIDERANDO:</w:t>
      </w:r>
      <w:r>
        <w:rPr>
          <w:rFonts w:ascii="Arial" w:eastAsia="Arial" w:hAnsi="Arial" w:cs="Arial"/>
          <w:b/>
          <w:bCs/>
          <w:color w:val="000000"/>
        </w:rPr>
        <w:tab/>
      </w:r>
    </w:p>
    <w:p w14:paraId="492B1DEF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ab/>
      </w:r>
      <w:r>
        <w:rPr>
          <w:rFonts w:ascii="Arial" w:eastAsia="Arial" w:hAnsi="Arial" w:cs="Arial"/>
          <w:b/>
          <w:bCs/>
          <w:color w:val="000000"/>
        </w:rPr>
        <w:tab/>
      </w:r>
      <w:r>
        <w:rPr>
          <w:rFonts w:ascii="Arial" w:eastAsia="Arial" w:hAnsi="Arial" w:cs="Arial"/>
          <w:color w:val="000000"/>
        </w:rPr>
        <w:t xml:space="preserve">       </w:t>
      </w:r>
    </w:p>
    <w:p w14:paraId="162836D0" w14:textId="5FB067FE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984"/>
        <w:jc w:val="both"/>
        <w:rPr>
          <w:rFonts w:ascii="Arial" w:eastAsia="Arial" w:hAnsi="Arial" w:cs="Arial"/>
          <w:color w:val="000000"/>
          <w:sz w:val="26"/>
          <w:szCs w:val="26"/>
        </w:rPr>
      </w:pPr>
      <w:r>
        <w:rPr>
          <w:rFonts w:ascii="Arial" w:eastAsia="Arial" w:hAnsi="Arial" w:cs="Arial"/>
        </w:rPr>
        <w:t xml:space="preserve">Que, con fecha 18 de </w:t>
      </w:r>
      <w:r w:rsidR="00E86710">
        <w:rPr>
          <w:rFonts w:ascii="Arial" w:eastAsia="Arial" w:hAnsi="Arial" w:cs="Arial"/>
        </w:rPr>
        <w:t>d</w:t>
      </w:r>
      <w:r>
        <w:rPr>
          <w:rFonts w:ascii="Arial" w:eastAsia="Arial" w:hAnsi="Arial" w:cs="Arial"/>
        </w:rPr>
        <w:t xml:space="preserve">iciembre de 2025, mediante número de Resolución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03/2025, se aprobó en primera lectura (Art. 100 inc. 5to. COM), el proyecto de Ordenanza mediante la cual se fijan las obligaciones establecidas en el Código Fiscal, las Alícuotas, Montos fijos e importes mínimos (expresados en pesos), el Valor “N”, sus modalidades de pago y fechas de vencimientos;</w:t>
      </w:r>
    </w:p>
    <w:p w14:paraId="1FCB8D00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5EECFEC2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1984"/>
        <w:jc w:val="both"/>
        <w:rPr>
          <w:rFonts w:ascii="Arial" w:eastAsia="Arial" w:hAnsi="Arial" w:cs="Arial"/>
          <w:color w:val="000000"/>
          <w:sz w:val="26"/>
          <w:szCs w:val="26"/>
        </w:rPr>
      </w:pPr>
      <w:r>
        <w:rPr>
          <w:rFonts w:ascii="Arial" w:eastAsia="Arial" w:hAnsi="Arial" w:cs="Arial"/>
        </w:rPr>
        <w:t>Que, el título segundo que legisla sobre las Tasas y Contribuciones sobre los Inmuebles Capítulo I Contribución por Planeamiento y Desarrollo Suburbano y Rural (PLADESUR) en su artículo 6 establece los importes mínimos para la contribución con el detalle de los metros cuadrados de acuerdo a una escala que va de 0,001 a 500 con una asignación de puntos mínimos 19.000; de 500,01 a 2000 con una asignación de puntos 27.000; de 500,01 a 5000 con una asignación de puntos 55.000; de 5000,01 a 15000 con una asignación de puntos 55.000 y más de 15000 con una asignación de puntos 65000 más 1 punto por cada metro cuadrado;</w:t>
      </w:r>
    </w:p>
    <w:p w14:paraId="44F63670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349337FC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2125"/>
        <w:jc w:val="both"/>
        <w:rPr>
          <w:rFonts w:ascii="Arial" w:eastAsia="Arial" w:hAnsi="Arial" w:cs="Arial"/>
          <w:color w:val="000000"/>
          <w:sz w:val="26"/>
          <w:szCs w:val="26"/>
        </w:rPr>
      </w:pPr>
      <w:r>
        <w:rPr>
          <w:rFonts w:ascii="Arial" w:eastAsia="Arial" w:hAnsi="Arial" w:cs="Arial"/>
        </w:rPr>
        <w:t>Que, en el segundo párrafo del artículo 6° se legisla una Excepción para los lotes de denominación catastral “</w:t>
      </w:r>
      <w:proofErr w:type="gramStart"/>
      <w:r>
        <w:rPr>
          <w:rFonts w:ascii="Arial" w:eastAsia="Arial" w:hAnsi="Arial" w:cs="Arial"/>
        </w:rPr>
        <w:t>16.RR</w:t>
      </w:r>
      <w:proofErr w:type="gramEnd"/>
      <w:r>
        <w:rPr>
          <w:rFonts w:ascii="Arial" w:eastAsia="Arial" w:hAnsi="Arial" w:cs="Arial"/>
        </w:rPr>
        <w:t xml:space="preserve">” con una superficie mayor a los 15.000 metros cuadrados estableciéndose una tabla diferente que consiste en lotes de superficie mínima y máxima con asignación de puntos mínimos y asignación de puntos por excedentes del mínimo con un máximo total de puntos y cuyo detalle es el siguiente: </w:t>
      </w:r>
      <w:proofErr w:type="spellStart"/>
      <w:r>
        <w:rPr>
          <w:rFonts w:ascii="Arial" w:eastAsia="Arial" w:hAnsi="Arial" w:cs="Arial"/>
        </w:rPr>
        <w:t>Sup</w:t>
      </w:r>
      <w:proofErr w:type="spellEnd"/>
      <w:r>
        <w:rPr>
          <w:rFonts w:ascii="Arial" w:eastAsia="Arial" w:hAnsi="Arial" w:cs="Arial"/>
        </w:rPr>
        <w:t xml:space="preserve">. Máxima 15.000m2, asignándole por metro cuadrado excedente del mínimo la cantidad de 2,14 puntos por metro cuadrado con un total de 32.100 puntos; de 15.000 a 30.000 m2 la cantidad de puntos mínimos 32.100 y la cantidad de puntos 1,44 por metro cuadrado excedente del mínimo, con un máximo de puntos 53700; de 30.000 a 60.000 m2 la cantidad de puntos mínimos 53.700 y la cantidad de puntos 1,22 por metro cuadrado excedente del mínimo, con un máximo de puntos 90.300; de 60.000 a 100.000 m2 la cantidad de puntos mínimos 90.300 y la cantidad de puntos 0,96 por metro cuadrado excedente del mínimo, con un máximos de puntos 128.700; de 100.000 a 400.000 m2 la cantidad de puntos mínimos 128.700 y la cantidad de puntos 0,70 por metro cuadrado excedente del mínimo, con un máximos de puntos 338.700; de 400.000 a 1.000.000 m2 la cantidad de puntos mínimos 338.700 y la cantidad de puntos 0,60 por metro cuadrado excedente del mínimo, con un máximos de puntos 698.700; ; de 1.000.000 a 2.000.000 m2 la cantidad de puntos mínimos 698.700 y la cantidad de puntos 0,54 por metro cuadrado excedente del mínimo, con un máximos de puntos 1.238.700; de 2.000.000 a 3.000.000 m2 la cantidad de puntos mínimos 1.238.700 y la cantidad de puntos 0,22 por metro cuadrado excedente del mínimo, con un máximos de puntos 1.458.700; de 3.000.000 a 5.000.000 m2 la cantidad de puntos mínimos 1.458.700 y la cantidad de puntos 0,16 por metro cuadrado excedente del mínimo, con un máximos de puntos 1.778.700; de 5.000.000 m2 en adelante la cantidad de puntos mínimos 1.778.700; </w:t>
      </w:r>
    </w:p>
    <w:p w14:paraId="0ED79B76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                            </w:t>
      </w:r>
    </w:p>
    <w:p w14:paraId="0073BA57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6"/>
          <w:szCs w:val="26"/>
        </w:rPr>
      </w:pPr>
      <w:r>
        <w:rPr>
          <w:rFonts w:ascii="Arial" w:eastAsia="Arial" w:hAnsi="Arial" w:cs="Arial"/>
          <w:color w:val="000000"/>
        </w:rPr>
        <w:t xml:space="preserve">                        </w:t>
      </w:r>
      <w:r>
        <w:rPr>
          <w:rFonts w:ascii="Arial" w:eastAsia="Arial" w:hAnsi="Arial" w:cs="Arial"/>
        </w:rPr>
        <w:tab/>
        <w:t xml:space="preserve"> Que, los propietarios del Lote N°9 independientemente de su encuadre, que se encuentran alcanzados por la contribución por Planeamiento y Desarrollo Suburbano </w:t>
      </w:r>
      <w:r>
        <w:rPr>
          <w:rFonts w:ascii="Arial" w:eastAsia="Arial" w:hAnsi="Arial" w:cs="Arial"/>
        </w:rPr>
        <w:lastRenderedPageBreak/>
        <w:t>y Rural PLADESUR, en la actualidad y desde el año 2005 sufren una situación de conflicto que les impide el ejercicio del uso y goce pleno del derecho de propiedad sobre sus inmuebles;</w:t>
      </w:r>
    </w:p>
    <w:p w14:paraId="72C03F1E" w14:textId="77777777" w:rsidR="00D92923" w:rsidRDefault="00EA637A">
      <w:pPr>
        <w:ind w:firstLine="2267"/>
        <w:jc w:val="both"/>
        <w:rPr>
          <w:rFonts w:ascii="Arial" w:eastAsia="Arial" w:hAnsi="Arial" w:cs="Arial"/>
          <w:color w:val="000000"/>
          <w:sz w:val="26"/>
          <w:szCs w:val="26"/>
        </w:rPr>
      </w:pPr>
      <w:r>
        <w:rPr>
          <w:rFonts w:ascii="Arial" w:eastAsia="Arial" w:hAnsi="Arial" w:cs="Arial"/>
        </w:rPr>
        <w:t>Que, el impedimento se manifiesta en vías de hecho que ejercen sujetos indeterminados obstaculizando de diversas maneras a los propietarios que pretenden desarrollar proyectos y/u obras sobre sus propiedades;</w:t>
      </w:r>
    </w:p>
    <w:p w14:paraId="544265D9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</w:rPr>
      </w:pPr>
    </w:p>
    <w:p w14:paraId="124A1645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22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las vías de hecho que sufren los propietarios de inmuebles del Lote N°9, en muchos casos fueron judicializados y actualmente esos trámites judiciales cuentan con fallos firmes donde se ordena la devolución de los inmuebles a los legítimos titulares y que por diversas razones dichos fallos no pueden ser ejecutados;</w:t>
      </w:r>
    </w:p>
    <w:p w14:paraId="3F44FFC7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2267"/>
        <w:jc w:val="both"/>
        <w:rPr>
          <w:rFonts w:ascii="Arial" w:eastAsia="Arial" w:hAnsi="Arial" w:cs="Arial"/>
        </w:rPr>
      </w:pPr>
    </w:p>
    <w:p w14:paraId="55153D4C" w14:textId="77777777" w:rsidR="00D92923" w:rsidRDefault="00EA637A">
      <w:pPr>
        <w:ind w:firstLine="21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Que, la falta de ejecución de las sentencias firmes, como así también la imposibilidad de garantizar la seguridad de los titulares </w:t>
      </w:r>
      <w:proofErr w:type="spellStart"/>
      <w:r>
        <w:rPr>
          <w:rFonts w:ascii="Arial" w:eastAsia="Arial" w:hAnsi="Arial" w:cs="Arial"/>
        </w:rPr>
        <w:t>dominiales</w:t>
      </w:r>
      <w:proofErr w:type="spellEnd"/>
      <w:r>
        <w:rPr>
          <w:rFonts w:ascii="Arial" w:eastAsia="Arial" w:hAnsi="Arial" w:cs="Arial"/>
        </w:rPr>
        <w:t xml:space="preserve">, en el uso y goce de </w:t>
      </w:r>
      <w:proofErr w:type="gramStart"/>
      <w:r>
        <w:rPr>
          <w:rFonts w:ascii="Arial" w:eastAsia="Arial" w:hAnsi="Arial" w:cs="Arial"/>
        </w:rPr>
        <w:t>sus  propiedades</w:t>
      </w:r>
      <w:proofErr w:type="gramEnd"/>
      <w:r>
        <w:rPr>
          <w:rFonts w:ascii="Arial" w:eastAsia="Arial" w:hAnsi="Arial" w:cs="Arial"/>
        </w:rPr>
        <w:t xml:space="preserve">, configura una ausencia del estado en cuanto al cumplimiento de sus deberes mínimos respecto a los ciudadanos que constituyen el Estado Argentino; </w:t>
      </w:r>
    </w:p>
    <w:p w14:paraId="2ADD7BCE" w14:textId="77777777" w:rsidR="00D92923" w:rsidRDefault="00D92923">
      <w:pPr>
        <w:ind w:firstLine="2160"/>
        <w:jc w:val="both"/>
        <w:rPr>
          <w:rFonts w:ascii="Arial" w:eastAsia="Arial" w:hAnsi="Arial" w:cs="Arial"/>
        </w:rPr>
      </w:pPr>
    </w:p>
    <w:p w14:paraId="0DE35698" w14:textId="77777777" w:rsidR="00D92923" w:rsidRDefault="00EA637A">
      <w:pPr>
        <w:ind w:firstLine="21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Que, el aumento en la asignación de puntos a los propietarios </w:t>
      </w:r>
      <w:proofErr w:type="spellStart"/>
      <w:r>
        <w:rPr>
          <w:rFonts w:ascii="Arial" w:eastAsia="Arial" w:hAnsi="Arial" w:cs="Arial"/>
        </w:rPr>
        <w:t>dominiales</w:t>
      </w:r>
      <w:proofErr w:type="spellEnd"/>
      <w:r>
        <w:rPr>
          <w:rFonts w:ascii="Arial" w:eastAsia="Arial" w:hAnsi="Arial" w:cs="Arial"/>
        </w:rPr>
        <w:t xml:space="preserve"> (con escritura pública) del Lote N°9 de Villa La Angostura, que se encuentran comprendidos por el Título II, Capítulo I “Contribuciones por Planeamiento y Desarrollo Suburbano y Rural (PLADESUR) en cuanto sufren las vías de hecho que afectan irremediablemente su derecho pleno, configura una injusticia y una  transgresión a los principios de equidad y proporcionalidad que rigen las cargas de las tasas y contribuciones que deben aplicarse a los vecinos de Villa La Angostura;</w:t>
      </w:r>
    </w:p>
    <w:p w14:paraId="657DC701" w14:textId="77777777" w:rsidR="00D92923" w:rsidRDefault="00D92923">
      <w:pPr>
        <w:ind w:firstLine="2160"/>
        <w:jc w:val="both"/>
        <w:rPr>
          <w:rFonts w:ascii="Arial" w:eastAsia="Arial" w:hAnsi="Arial" w:cs="Arial"/>
        </w:rPr>
      </w:pPr>
    </w:p>
    <w:p w14:paraId="25485DA3" w14:textId="77777777" w:rsidR="00D92923" w:rsidRDefault="00EA637A">
      <w:pPr>
        <w:ind w:firstLine="216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</w:rPr>
        <w:t>Que, es facultad de este Concejo Deliberante Art.95  inc.12 COM “Sancionar Ordenanzas que establezcan impuestos, tasas, derechos, aranceles, contribuciones, patentes, multas, derechos de uso y demás gravámenes que, en forma equitativa, proporcional y progresiva, imponga a la población”, sin eludir y garantizando el cumplimiento de las obligaciones que le corresponden al Estado Municipal, hecho que en el caso de los propietarios del Lote N°9 de Villa La Angostura alcanzados por PLADESUR no se está cumpliendo adecuadamente;</w:t>
      </w:r>
    </w:p>
    <w:p w14:paraId="643CFBBF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8"/>
        <w:jc w:val="both"/>
        <w:rPr>
          <w:rFonts w:ascii="Arial" w:eastAsia="Arial" w:hAnsi="Arial" w:cs="Arial"/>
          <w:color w:val="000000"/>
        </w:rPr>
      </w:pPr>
    </w:p>
    <w:p w14:paraId="1292BDCF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tabs>
          <w:tab w:val="left" w:pos="562"/>
        </w:tabs>
        <w:ind w:firstLine="425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Por ello y conforme a lo dispuesto en el Art. 107 de la carta Orgánica Municipal</w:t>
      </w:r>
    </w:p>
    <w:p w14:paraId="22886580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ab/>
        <w:t xml:space="preserve"> </w:t>
      </w:r>
    </w:p>
    <w:p w14:paraId="65AA94EC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   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  <w:t xml:space="preserve">        </w:t>
      </w:r>
    </w:p>
    <w:p w14:paraId="5C200F21" w14:textId="77777777" w:rsidR="00D92923" w:rsidRDefault="00EA637A">
      <w:pPr>
        <w:pStyle w:val="Ttulo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El Concejo Deliberante de la Municipalidad de Villa La Angostura</w:t>
      </w:r>
    </w:p>
    <w:p w14:paraId="54F14652" w14:textId="77777777" w:rsidR="00D92923" w:rsidRDefault="00EA637A">
      <w:pPr>
        <w:pStyle w:val="Ttulo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SANCIONA CON FUERZA DE</w:t>
      </w:r>
    </w:p>
    <w:p w14:paraId="47238FC1" w14:textId="77777777" w:rsidR="00D92923" w:rsidRDefault="00EA637A">
      <w:pPr>
        <w:pStyle w:val="Ttulo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ORDENANZA</w:t>
      </w:r>
    </w:p>
    <w:p w14:paraId="3A4EC265" w14:textId="77777777" w:rsidR="00D92923" w:rsidRDefault="00D92923">
      <w:pPr>
        <w:pStyle w:val="Ttulo2"/>
        <w:jc w:val="both"/>
        <w:rPr>
          <w:rFonts w:ascii="Arial" w:eastAsia="Arial" w:hAnsi="Arial" w:cs="Arial"/>
          <w:sz w:val="22"/>
          <w:szCs w:val="22"/>
        </w:rPr>
      </w:pPr>
    </w:p>
    <w:p w14:paraId="7A846A04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6"/>
          <w:szCs w:val="26"/>
        </w:rPr>
      </w:pPr>
      <w:bookmarkStart w:id="2" w:name="_heading=h.63gl4o1k5f27" w:colFirst="0" w:colLast="0"/>
      <w:bookmarkEnd w:id="2"/>
      <w:r>
        <w:rPr>
          <w:rFonts w:ascii="Arial" w:eastAsia="Arial" w:hAnsi="Arial" w:cs="Arial"/>
          <w:b/>
          <w:bCs/>
          <w:color w:val="000000"/>
        </w:rPr>
        <w:t>ARTÍCULO 1º: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b/>
          <w:bCs/>
        </w:rPr>
        <w:t>AUTORÍZASE</w:t>
      </w:r>
      <w:r>
        <w:rPr>
          <w:rFonts w:ascii="Arial" w:eastAsia="Arial" w:hAnsi="Arial" w:cs="Arial"/>
        </w:rPr>
        <w:t xml:space="preserve"> al Departamento Ejecutivo Municipal a gestionar el cobro de tasas de los lotes pertenecientes al loteo pastoril 9 que se encuentran alcanzados en el Título II TASAS y CONTRIBUCIONES SOBRE LOS INMUEBLES CAPÍTULO I, CONTRIBUCIÓN POR PLANEAMIENTO Y DESARROLLO SUBURBANO Y RURAL (PLADESUR) determinados por los artículos sexto, séptimo, octavo y noveno de la Ordenanza N°4263/ 2025 en cuanto a la cantidad de puntos asignados según su superficie y </w:t>
      </w:r>
      <w:proofErr w:type="gramStart"/>
      <w:r>
        <w:rPr>
          <w:rFonts w:ascii="Arial" w:eastAsia="Arial" w:hAnsi="Arial" w:cs="Arial"/>
        </w:rPr>
        <w:t>denominación.-</w:t>
      </w:r>
      <w:proofErr w:type="gramEnd"/>
    </w:p>
    <w:p w14:paraId="44E406AD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7AE0F1FC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6"/>
          <w:szCs w:val="26"/>
        </w:rPr>
      </w:pPr>
      <w:r>
        <w:rPr>
          <w:rFonts w:ascii="Arial" w:eastAsia="Arial" w:hAnsi="Arial" w:cs="Arial"/>
          <w:b/>
          <w:bCs/>
          <w:color w:val="000000"/>
        </w:rPr>
        <w:t xml:space="preserve">ARTÍCULO 2°: </w:t>
      </w:r>
      <w:r>
        <w:rPr>
          <w:rFonts w:ascii="Arial" w:eastAsia="Arial" w:hAnsi="Arial" w:cs="Arial"/>
          <w:b/>
          <w:bCs/>
        </w:rPr>
        <w:t xml:space="preserve">DISPÓNGASE </w:t>
      </w:r>
      <w:r>
        <w:rPr>
          <w:rFonts w:ascii="Arial" w:eastAsia="Arial" w:hAnsi="Arial" w:cs="Arial"/>
        </w:rPr>
        <w:t xml:space="preserve">que lo establecido en el artículo 1° queda sujeto a la vigencia de la Ordenanza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4333/2026.</w:t>
      </w:r>
    </w:p>
    <w:p w14:paraId="22B05A44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color w:val="000000"/>
        </w:rPr>
      </w:pPr>
    </w:p>
    <w:p w14:paraId="6283B725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000000"/>
        </w:rPr>
        <w:t xml:space="preserve">ARTÍCULO 3°: </w:t>
      </w:r>
      <w:r>
        <w:rPr>
          <w:rFonts w:ascii="Arial" w:eastAsia="Arial" w:hAnsi="Arial" w:cs="Arial"/>
          <w:b/>
          <w:bCs/>
        </w:rPr>
        <w:t>DÉJESE</w:t>
      </w:r>
      <w:r>
        <w:rPr>
          <w:rFonts w:ascii="Arial" w:eastAsia="Arial" w:hAnsi="Arial" w:cs="Arial"/>
        </w:rPr>
        <w:t xml:space="preserve"> constancia de que la presente no resulta incompatible con otras exenciones y/o beneficios que pudieran alcanzar a los inmuebles descriptos en el artículo 1°.</w:t>
      </w:r>
    </w:p>
    <w:p w14:paraId="7215FB7A" w14:textId="77777777" w:rsidR="00D92923" w:rsidRDefault="00D92923">
      <w:pPr>
        <w:jc w:val="both"/>
        <w:rPr>
          <w:rFonts w:ascii="Arial" w:eastAsia="Arial" w:hAnsi="Arial" w:cs="Arial"/>
        </w:rPr>
      </w:pPr>
    </w:p>
    <w:p w14:paraId="505D6CE2" w14:textId="77777777" w:rsidR="00D92923" w:rsidRDefault="00EA637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 xml:space="preserve">ARTÍCULO </w:t>
      </w:r>
      <w:r>
        <w:rPr>
          <w:rFonts w:ascii="Arial" w:eastAsia="Arial" w:hAnsi="Arial" w:cs="Arial"/>
          <w:b/>
          <w:bCs/>
        </w:rPr>
        <w:t>4</w:t>
      </w:r>
      <w:r>
        <w:rPr>
          <w:rFonts w:ascii="Arial" w:eastAsia="Arial" w:hAnsi="Arial" w:cs="Arial"/>
          <w:b/>
          <w:bCs/>
          <w:color w:val="000000"/>
        </w:rPr>
        <w:t xml:space="preserve">°: PASE </w:t>
      </w:r>
      <w:r>
        <w:rPr>
          <w:rFonts w:ascii="Arial" w:eastAsia="Arial" w:hAnsi="Arial" w:cs="Arial"/>
          <w:color w:val="000000"/>
        </w:rPr>
        <w:t xml:space="preserve">al Departamento Ejecutivo Municipal para su promulgación. Comuníquese. Regístrese. Publíquese. Cumplido. </w:t>
      </w:r>
      <w:proofErr w:type="gramStart"/>
      <w:r>
        <w:rPr>
          <w:rFonts w:ascii="Arial" w:eastAsia="Arial" w:hAnsi="Arial" w:cs="Arial"/>
          <w:color w:val="000000"/>
        </w:rPr>
        <w:t>Archívese.-</w:t>
      </w:r>
      <w:proofErr w:type="gramEnd"/>
    </w:p>
    <w:p w14:paraId="2B26F3CB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</w:p>
    <w:p w14:paraId="1063767C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</w:rPr>
      </w:pPr>
    </w:p>
    <w:p w14:paraId="52C52E50" w14:textId="7B0863A7" w:rsidR="00D92923" w:rsidRDefault="00EA637A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jc w:val="center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Dada en la Sala de Sesiones Don Humberto Rolando del Concejo Deliberante, a los</w:t>
      </w:r>
      <w:r w:rsidR="009B0683">
        <w:rPr>
          <w:rFonts w:ascii="Arial" w:eastAsia="Arial" w:hAnsi="Arial" w:cs="Arial"/>
          <w:color w:val="000000"/>
        </w:rPr>
        <w:t xml:space="preserve"> seis</w:t>
      </w:r>
      <w:r>
        <w:rPr>
          <w:rFonts w:ascii="Arial" w:eastAsia="Arial" w:hAnsi="Arial" w:cs="Arial"/>
          <w:color w:val="000000"/>
        </w:rPr>
        <w:t xml:space="preserve"> días del mes de </w:t>
      </w:r>
      <w:r w:rsidR="009B0683">
        <w:rPr>
          <w:rFonts w:ascii="Arial" w:eastAsia="Arial" w:hAnsi="Arial" w:cs="Arial"/>
          <w:color w:val="000000"/>
        </w:rPr>
        <w:t>abril</w:t>
      </w:r>
      <w:r>
        <w:rPr>
          <w:rFonts w:ascii="Arial" w:eastAsia="Arial" w:hAnsi="Arial" w:cs="Arial"/>
          <w:color w:val="000000"/>
        </w:rPr>
        <w:t xml:space="preserve"> del año 2026, en Sesión </w:t>
      </w:r>
      <w:r>
        <w:rPr>
          <w:rFonts w:ascii="Arial" w:eastAsia="Arial" w:hAnsi="Arial" w:cs="Arial"/>
        </w:rPr>
        <w:t>E</w:t>
      </w:r>
      <w:r w:rsidR="009B0683">
        <w:rPr>
          <w:rFonts w:ascii="Arial" w:eastAsia="Arial" w:hAnsi="Arial" w:cs="Arial"/>
        </w:rPr>
        <w:t>special</w:t>
      </w:r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N°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r w:rsidR="009B0683">
        <w:rPr>
          <w:rFonts w:ascii="Arial" w:eastAsia="Arial" w:hAnsi="Arial" w:cs="Arial"/>
          <w:color w:val="000000"/>
        </w:rPr>
        <w:t>IV,</w:t>
      </w:r>
      <w:r>
        <w:rPr>
          <w:rFonts w:ascii="Arial" w:eastAsia="Arial" w:hAnsi="Arial" w:cs="Arial"/>
          <w:color w:val="000000"/>
        </w:rPr>
        <w:t xml:space="preserve"> Acta </w:t>
      </w:r>
      <w:proofErr w:type="spellStart"/>
      <w:r>
        <w:rPr>
          <w:rFonts w:ascii="Arial" w:eastAsia="Arial" w:hAnsi="Arial" w:cs="Arial"/>
          <w:color w:val="000000"/>
        </w:rPr>
        <w:t>N°</w:t>
      </w:r>
      <w:proofErr w:type="spellEnd"/>
      <w:r w:rsidR="009B0683">
        <w:rPr>
          <w:rFonts w:ascii="Arial" w:eastAsia="Arial" w:hAnsi="Arial" w:cs="Arial"/>
          <w:color w:val="000000"/>
        </w:rPr>
        <w:t xml:space="preserve"> 1982</w:t>
      </w:r>
      <w:r>
        <w:rPr>
          <w:rFonts w:ascii="Arial" w:eastAsia="Arial" w:hAnsi="Arial" w:cs="Arial"/>
          <w:color w:val="000000"/>
        </w:rPr>
        <w:t>.-</w:t>
      </w:r>
    </w:p>
    <w:p w14:paraId="718EA6E6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</w:rPr>
      </w:pPr>
    </w:p>
    <w:p w14:paraId="08A5BEB8" w14:textId="77777777" w:rsidR="00D92923" w:rsidRDefault="00D9292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</w:rPr>
      </w:pPr>
    </w:p>
    <w:p w14:paraId="59924161" w14:textId="77777777" w:rsidR="00D92923" w:rsidRDefault="00EA637A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Fdo. Raimondo Sebastián (</w:t>
      </w:r>
      <w:proofErr w:type="gramStart"/>
      <w:r>
        <w:rPr>
          <w:rFonts w:ascii="Arial" w:eastAsia="Arial" w:hAnsi="Arial" w:cs="Arial"/>
        </w:rPr>
        <w:t>Presidente</w:t>
      </w:r>
      <w:proofErr w:type="gramEnd"/>
      <w:r>
        <w:rPr>
          <w:rFonts w:ascii="Arial" w:eastAsia="Arial" w:hAnsi="Arial" w:cs="Arial"/>
        </w:rPr>
        <w:t xml:space="preserve"> CD)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     </w:t>
      </w:r>
    </w:p>
    <w:p w14:paraId="5AE30A57" w14:textId="77777777" w:rsidR="00D92923" w:rsidRDefault="00EA637A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Jimena de los Ángeles Montero (</w:t>
      </w:r>
      <w:proofErr w:type="gramStart"/>
      <w:r>
        <w:rPr>
          <w:rFonts w:ascii="Arial" w:eastAsia="Arial" w:hAnsi="Arial" w:cs="Arial"/>
        </w:rPr>
        <w:t>Secretaria</w:t>
      </w:r>
      <w:proofErr w:type="gramEnd"/>
      <w:r>
        <w:rPr>
          <w:rFonts w:ascii="Arial" w:eastAsia="Arial" w:hAnsi="Arial" w:cs="Arial"/>
        </w:rPr>
        <w:t xml:space="preserve"> CD)</w:t>
      </w:r>
    </w:p>
    <w:p w14:paraId="53109F38" w14:textId="77777777" w:rsidR="00D92923" w:rsidRDefault="00D92923">
      <w:pPr>
        <w:rPr>
          <w:rFonts w:ascii="Arial" w:eastAsia="Arial" w:hAnsi="Arial" w:cs="Arial"/>
        </w:rPr>
      </w:pPr>
    </w:p>
    <w:p w14:paraId="3FB90B99" w14:textId="77777777" w:rsidR="00D92923" w:rsidRDefault="00D92923">
      <w:pPr>
        <w:jc w:val="both"/>
        <w:rPr>
          <w:rFonts w:ascii="Arial" w:eastAsia="Arial" w:hAnsi="Arial" w:cs="Arial"/>
        </w:rPr>
      </w:pPr>
    </w:p>
    <w:p w14:paraId="38FEC7C5" w14:textId="77777777" w:rsidR="00D92923" w:rsidRDefault="00D92923">
      <w:pPr>
        <w:jc w:val="both"/>
        <w:rPr>
          <w:rFonts w:ascii="Arial" w:eastAsia="Arial" w:hAnsi="Arial" w:cs="Arial"/>
        </w:rPr>
      </w:pPr>
    </w:p>
    <w:p w14:paraId="2142AC95" w14:textId="77777777" w:rsidR="00D92923" w:rsidRDefault="00D92923">
      <w:pPr>
        <w:jc w:val="both"/>
        <w:rPr>
          <w:rFonts w:ascii="Arial" w:eastAsia="Arial" w:hAnsi="Arial" w:cs="Arial"/>
        </w:rPr>
      </w:pPr>
    </w:p>
    <w:p w14:paraId="15E385B5" w14:textId="77777777" w:rsidR="00D92923" w:rsidRDefault="00D92923">
      <w:pPr>
        <w:jc w:val="both"/>
        <w:rPr>
          <w:rFonts w:ascii="Arial" w:eastAsia="Arial" w:hAnsi="Arial" w:cs="Arial"/>
        </w:rPr>
      </w:pPr>
    </w:p>
    <w:p w14:paraId="548D1F5C" w14:textId="77777777" w:rsidR="00D92923" w:rsidRDefault="00D92923">
      <w:pPr>
        <w:rPr>
          <w:rFonts w:ascii="Arial" w:eastAsia="Arial" w:hAnsi="Arial" w:cs="Arial"/>
        </w:rPr>
      </w:pPr>
    </w:p>
    <w:sectPr w:rsidR="00D92923" w:rsidSect="00786557">
      <w:headerReference w:type="even" r:id="rId8"/>
      <w:headerReference w:type="default" r:id="rId9"/>
      <w:footerReference w:type="default" r:id="rId10"/>
      <w:pgSz w:w="12240" w:h="20160" w:code="5"/>
      <w:pgMar w:top="1304" w:right="902" w:bottom="567" w:left="1418" w:header="426" w:footer="96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DB80B" w14:textId="77777777" w:rsidR="00EA637A" w:rsidRDefault="00EA637A">
      <w:r>
        <w:separator/>
      </w:r>
    </w:p>
  </w:endnote>
  <w:endnote w:type="continuationSeparator" w:id="0">
    <w:p w14:paraId="2D936690" w14:textId="77777777" w:rsidR="00EA637A" w:rsidRDefault="00EA6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5F2CC929-D727-4D87-898C-43216359A889}"/>
    <w:embedBold r:id="rId2" w:fontKey="{ACE473C7-15D6-4A61-B8D5-876605308A3A}"/>
    <w:embedItalic r:id="rId3" w:fontKey="{BB46BB1C-2B93-49C3-8B5F-9DD3B7201661}"/>
    <w:embedBoldItalic r:id="rId4" w:fontKey="{E85F1383-BFB3-4566-AF83-C0EA46309ECA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5" w:fontKey="{966D1999-A478-4851-8EA1-0ABFBB6BF060}"/>
    <w:embedBold r:id="rId6" w:fontKey="{8EF5297E-7FB3-4C38-9411-C7DDCED731A9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3BE7A0ED-2BD2-4DAB-AA87-DCB97F7F65ED}"/>
    <w:embedBold r:id="rId8" w:fontKey="{C51344BB-1658-41D2-AF18-CDFC730D2F1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9" w:fontKey="{54EAEB15-2BC6-4983-A843-80B1CF6452D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0" w:fontKey="{993AB729-4072-4DF3-B4B7-B773D94297D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92D3A62E-1A1F-4046-91D1-27A5B0C7640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CF637" w14:textId="77777777" w:rsidR="00D92923" w:rsidRDefault="00D92923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9AB4F" w14:textId="77777777" w:rsidR="00EA637A" w:rsidRDefault="00EA637A">
      <w:r>
        <w:separator/>
      </w:r>
    </w:p>
  </w:footnote>
  <w:footnote w:type="continuationSeparator" w:id="0">
    <w:p w14:paraId="6F2BF0E1" w14:textId="77777777" w:rsidR="00EA637A" w:rsidRDefault="00EA63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A6601" w14:textId="77777777" w:rsidR="00D92923" w:rsidRDefault="00EA637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i/>
        <w:iCs/>
        <w:noProof/>
        <w:color w:val="000000"/>
        <w:sz w:val="18"/>
        <w:szCs w:val="18"/>
      </w:rPr>
      <w:drawing>
        <wp:inline distT="0" distB="0" distL="0" distR="0" wp14:anchorId="0CE6C612" wp14:editId="0C494555">
          <wp:extent cx="2162175" cy="1419225"/>
          <wp:effectExtent l="0" t="0" r="0" b="0"/>
          <wp:docPr id="15" name="image1.jpg" descr="logo_municipalidad_20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_municipalidad_2012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9F705" w14:textId="77777777" w:rsidR="00D92923" w:rsidRDefault="00EA637A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left" w:pos="8838"/>
      </w:tabs>
      <w:jc w:val="center"/>
      <w:rPr>
        <w:rFonts w:ascii="Arial" w:eastAsia="Arial" w:hAnsi="Arial" w:cs="Arial"/>
        <w:b/>
        <w:bCs/>
        <w:color w:val="000000"/>
      </w:rPr>
    </w:pPr>
    <w:r>
      <w:rPr>
        <w:b/>
        <w:bCs/>
        <w:noProof/>
        <w:color w:val="000000"/>
      </w:rPr>
      <w:drawing>
        <wp:inline distT="0" distB="0" distL="0" distR="0" wp14:anchorId="71F58878" wp14:editId="73816571">
          <wp:extent cx="1266825" cy="942975"/>
          <wp:effectExtent l="0" t="0" r="0" b="0"/>
          <wp:docPr id="14" name="image2.png" descr="logo mvla 2024  concejo deliberante 1col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mvla 2024  concejo deliberante 1color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682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F6326A" w14:textId="77777777" w:rsidR="00D92923" w:rsidRDefault="00EA637A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</w:tabs>
      <w:jc w:val="right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ab/>
    </w:r>
    <w:r>
      <w:rPr>
        <w:rFonts w:ascii="Arial" w:eastAsia="Arial" w:hAnsi="Arial" w:cs="Arial"/>
        <w:color w:val="000000"/>
        <w:sz w:val="18"/>
        <w:szCs w:val="18"/>
      </w:rPr>
      <w:tab/>
    </w:r>
  </w:p>
  <w:p w14:paraId="64F8DDCE" w14:textId="77777777" w:rsidR="00D92923" w:rsidRDefault="00D929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6E373E"/>
    <w:multiLevelType w:val="multilevel"/>
    <w:tmpl w:val="0C4AB6C6"/>
    <w:lvl w:ilvl="0">
      <w:start w:val="1"/>
      <w:numFmt w:val="decimal"/>
      <w:pStyle w:val="Listaconvieta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920260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923"/>
    <w:rsid w:val="002C71BB"/>
    <w:rsid w:val="00786557"/>
    <w:rsid w:val="009B0683"/>
    <w:rsid w:val="009F51B0"/>
    <w:rsid w:val="00D92923"/>
    <w:rsid w:val="00E86710"/>
    <w:rsid w:val="00EA637A"/>
    <w:rsid w:val="00F75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D7D95"/>
  <w15:docId w15:val="{D6C31C1B-5C2A-4C3E-BCFF-C9F2006DA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="Bookman Old Style" w:hAnsi="Bookman Old Style" w:cs="Bookman Old Style"/>
        <w:sz w:val="24"/>
        <w:szCs w:val="24"/>
        <w:lang w:val="es-AR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pBdr>
        <w:top w:val="nil"/>
        <w:left w:val="nil"/>
        <w:bottom w:val="nil"/>
        <w:right w:val="nil"/>
        <w:between w:val="nil"/>
      </w:pBdr>
      <w:jc w:val="both"/>
      <w:outlineLvl w:val="0"/>
    </w:pPr>
    <w:rPr>
      <w:rFonts w:ascii="Arial Narrow" w:eastAsia="Arial Narrow" w:hAnsi="Arial Narrow" w:cs="Arial Narrow"/>
      <w:b/>
      <w:bCs/>
      <w:color w:val="00000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Tahoma" w:eastAsia="Tahoma" w:hAnsi="Tahoma" w:cs="Tahoma"/>
      <w:b/>
      <w:bCs/>
      <w:color w:val="00000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tabs>
        <w:tab w:val="left" w:pos="2760"/>
      </w:tabs>
      <w:jc w:val="both"/>
      <w:outlineLvl w:val="2"/>
    </w:pPr>
    <w:rPr>
      <w:color w:val="000000"/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tabs>
        <w:tab w:val="left" w:pos="2880"/>
      </w:tabs>
      <w:outlineLvl w:val="3"/>
    </w:pPr>
    <w:rPr>
      <w:color w:val="000000"/>
      <w:u w:val="single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bCs/>
      <w:i/>
      <w:iCs/>
      <w:color w:val="000000"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rFonts w:ascii="Times New Roman" w:eastAsia="Times New Roman" w:hAnsi="Times New Roman" w:cs="Times New Roman"/>
      <w:b/>
      <w:bCs/>
      <w:color w:val="000000"/>
      <w:sz w:val="22"/>
      <w:szCs w:val="22"/>
    </w:rPr>
  </w:style>
  <w:style w:type="paragraph" w:styleId="Ttulo7">
    <w:name w:val="heading 7"/>
    <w:basedOn w:val="Normal2"/>
    <w:next w:val="Normal2"/>
    <w:qFormat/>
    <w:rsid w:val="00915AE2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2"/>
    <w:next w:val="Normal2"/>
    <w:qFormat/>
    <w:rsid w:val="00915AE2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2"/>
    <w:next w:val="Normal2"/>
    <w:qFormat/>
    <w:rsid w:val="00915AE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  <w:jc w:val="center"/>
    </w:pPr>
    <w:rPr>
      <w:b/>
      <w:bCs/>
      <w:color w:val="000000"/>
      <w:sz w:val="28"/>
      <w:szCs w:val="28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rsid w:val="008E003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1">
    <w:name w:val="Normal1"/>
    <w:rsid w:val="008E003F"/>
  </w:style>
  <w:style w:type="table" w:customStyle="1" w:styleId="TableNormal2">
    <w:name w:val="TableNormal"/>
    <w:rsid w:val="008E003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2">
    <w:name w:val="Normal2"/>
    <w:rsid w:val="008E003F"/>
  </w:style>
  <w:style w:type="table" w:customStyle="1" w:styleId="TableNormal3">
    <w:name w:val="TableNormal"/>
    <w:rsid w:val="008E003F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rsid w:val="008E003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2"/>
    <w:link w:val="EncabezadoCar"/>
    <w:uiPriority w:val="99"/>
    <w:rsid w:val="00915AE2"/>
    <w:pPr>
      <w:tabs>
        <w:tab w:val="center" w:pos="4419"/>
        <w:tab w:val="right" w:pos="8838"/>
      </w:tabs>
    </w:pPr>
  </w:style>
  <w:style w:type="paragraph" w:styleId="Piedepgina">
    <w:name w:val="footer"/>
    <w:basedOn w:val="Normal2"/>
    <w:link w:val="PiedepginaCar"/>
    <w:uiPriority w:val="99"/>
    <w:rsid w:val="00915AE2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2"/>
    <w:semiHidden/>
    <w:rsid w:val="00915AE2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2"/>
    <w:link w:val="TextoindependienteCar"/>
    <w:rsid w:val="00915AE2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2"/>
    <w:uiPriority w:val="99"/>
    <w:rsid w:val="00915AE2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2"/>
    <w:link w:val="SangradetextonormalCar"/>
    <w:uiPriority w:val="99"/>
    <w:rsid w:val="00915AE2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2"/>
    <w:link w:val="Textoindependiente2Car"/>
    <w:rsid w:val="00915AE2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2"/>
    <w:link w:val="Textoindependiente3Car"/>
    <w:rsid w:val="00915AE2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2"/>
    <w:link w:val="Sangra3detindependienteCar"/>
    <w:rsid w:val="00915AE2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915AE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Sangra2detindependiente">
    <w:name w:val="Body Text Indent 2"/>
    <w:basedOn w:val="Normal2"/>
    <w:rsid w:val="00915AE2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2"/>
    <w:rsid w:val="00915AE2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915AE2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2"/>
    <w:next w:val="Normal2"/>
    <w:rsid w:val="00915AE2"/>
    <w:pPr>
      <w:autoSpaceDE w:val="0"/>
      <w:autoSpaceDN w:val="0"/>
    </w:pPr>
    <w:rPr>
      <w:rFonts w:ascii="Courier New" w:hAnsi="Courier New" w:cs="Courier New"/>
      <w:sz w:val="20"/>
      <w:szCs w:val="20"/>
    </w:rPr>
  </w:style>
  <w:style w:type="paragraph" w:styleId="Descripcin">
    <w:name w:val="caption"/>
    <w:basedOn w:val="Normal2"/>
    <w:next w:val="Normal2"/>
    <w:qFormat/>
    <w:rsid w:val="00915AE2"/>
    <w:rPr>
      <w:rFonts w:ascii="Times New Roman" w:hAnsi="Times New Roman"/>
      <w:b/>
      <w:bCs/>
    </w:rPr>
  </w:style>
  <w:style w:type="paragraph" w:styleId="Firmadecorreoelectrnico">
    <w:name w:val="E-mail Signature"/>
    <w:basedOn w:val="Normal2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915AE2"/>
    <w:rPr>
      <w:color w:val="0000FF"/>
      <w:u w:val="single"/>
    </w:rPr>
  </w:style>
  <w:style w:type="character" w:styleId="Nmerodepgina">
    <w:name w:val="page number"/>
    <w:basedOn w:val="Fuentedeprrafopredeter"/>
    <w:rsid w:val="00915AE2"/>
  </w:style>
  <w:style w:type="paragraph" w:styleId="TDC4">
    <w:name w:val="toc 4"/>
    <w:basedOn w:val="Normal2"/>
    <w:next w:val="Normal2"/>
    <w:autoRedefine/>
    <w:semiHidden/>
    <w:rsid w:val="00915AE2"/>
    <w:pPr>
      <w:jc w:val="both"/>
    </w:pPr>
    <w:rPr>
      <w:rFonts w:ascii="Arial" w:hAnsi="Arial" w:cs="Arial"/>
      <w:sz w:val="34"/>
      <w:szCs w:val="34"/>
    </w:rPr>
  </w:style>
  <w:style w:type="paragraph" w:customStyle="1" w:styleId="Left">
    <w:name w:val="Left"/>
    <w:rsid w:val="00915AE2"/>
    <w:pPr>
      <w:widowControl w:val="0"/>
      <w:autoSpaceDE w:val="0"/>
      <w:autoSpaceDN w:val="0"/>
      <w:adjustRightInd w:val="0"/>
    </w:pPr>
  </w:style>
  <w:style w:type="character" w:customStyle="1" w:styleId="yshortcuts">
    <w:name w:val="yshortcuts"/>
    <w:basedOn w:val="Fuentedeprrafopredeter"/>
    <w:rsid w:val="00915AE2"/>
  </w:style>
  <w:style w:type="paragraph" w:customStyle="1" w:styleId="yiv886865484msonormal">
    <w:name w:val="yiv886865484msonormal"/>
    <w:basedOn w:val="Normal2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2"/>
    <w:rsid w:val="00915AE2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2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915AE2"/>
    <w:rPr>
      <w:i/>
      <w:iCs/>
    </w:rPr>
  </w:style>
  <w:style w:type="character" w:customStyle="1" w:styleId="CarCar1">
    <w:name w:val="Car Car1"/>
    <w:rsid w:val="00915AE2"/>
    <w:rPr>
      <w:rFonts w:ascii="Tahoma" w:hAnsi="Tahoma" w:cs="Tahoma"/>
      <w:b/>
      <w:bCs/>
      <w:sz w:val="24"/>
      <w:szCs w:val="24"/>
      <w:lang w:val="es-AR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8D095C"/>
    <w:rPr>
      <w:rFonts w:ascii="Arial Narrow" w:hAnsi="Arial Narrow" w:cs="Tahoma"/>
      <w:sz w:val="24"/>
      <w:szCs w:val="24"/>
      <w:lang w:val="es-ES_tradnl" w:eastAsia="es-ES" w:bidi="ar-SA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DC2E51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C2E51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rsid w:val="007F750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uiPriority w:val="9"/>
    <w:rsid w:val="00A86A94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5Car">
    <w:name w:val="Título 5 Car"/>
    <w:basedOn w:val="Fuentedeprrafopredeter"/>
    <w:rsid w:val="00A86A94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character" w:customStyle="1" w:styleId="TtuloCar">
    <w:name w:val="Título Car"/>
    <w:basedOn w:val="Fuentedeprrafopredeter"/>
    <w:rsid w:val="00A86A94"/>
    <w:rPr>
      <w:rFonts w:ascii="Bookman Old Style" w:hAnsi="Bookman Old Style"/>
      <w:b/>
      <w:bCs/>
      <w:sz w:val="28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9568C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C727B"/>
    <w:rPr>
      <w:rFonts w:ascii="Bookman Old Style" w:hAnsi="Bookman Old Style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14611"/>
    <w:rPr>
      <w:rFonts w:ascii="Bookman Old Style" w:hAnsi="Bookman Old Style"/>
      <w:sz w:val="24"/>
      <w:szCs w:val="24"/>
      <w:lang w:val="es-ES" w:eastAsia="es-ES"/>
    </w:rPr>
  </w:style>
  <w:style w:type="paragraph" w:customStyle="1" w:styleId="Default">
    <w:name w:val="Default"/>
    <w:rsid w:val="002563AD"/>
    <w:pPr>
      <w:autoSpaceDE w:val="0"/>
      <w:autoSpaceDN w:val="0"/>
      <w:adjustRightInd w:val="0"/>
    </w:pPr>
    <w:rPr>
      <w:rFonts w:ascii="Calibri" w:eastAsia="Calibri" w:hAnsi="Calibri" w:cs="Calibri"/>
      <w:color w:val="000000"/>
      <w:lang w:eastAsia="en-US"/>
    </w:rPr>
  </w:style>
  <w:style w:type="character" w:customStyle="1" w:styleId="textrunscx104360819">
    <w:name w:val="textrun scx104360819"/>
    <w:basedOn w:val="Fuentedeprrafopredeter"/>
    <w:uiPriority w:val="99"/>
    <w:rsid w:val="00484120"/>
    <w:rPr>
      <w:rFonts w:cs="Times New Roman"/>
    </w:rPr>
  </w:style>
  <w:style w:type="paragraph" w:customStyle="1" w:styleId="Normal10">
    <w:name w:val="Normal1"/>
    <w:rsid w:val="00BE7270"/>
  </w:style>
  <w:style w:type="character" w:customStyle="1" w:styleId="Textoindependiente2Car">
    <w:name w:val="Texto independiente 2 Car"/>
    <w:basedOn w:val="Fuentedeprrafopredeter"/>
    <w:link w:val="Textoindependiente2"/>
    <w:rsid w:val="00B30980"/>
    <w:rPr>
      <w:rFonts w:ascii="Bookman Old Style" w:hAnsi="Bookman Old Style"/>
      <w:b/>
      <w:color w:val="000000"/>
      <w:sz w:val="24"/>
      <w:szCs w:val="24"/>
      <w:lang w:val="es-ES_tradnl"/>
    </w:rPr>
  </w:style>
  <w:style w:type="paragraph" w:styleId="Listaconvietas">
    <w:name w:val="List Bullet"/>
    <w:basedOn w:val="Normal"/>
    <w:uiPriority w:val="99"/>
    <w:unhideWhenUsed/>
    <w:rsid w:val="008A6893"/>
    <w:pPr>
      <w:numPr>
        <w:numId w:val="1"/>
      </w:numPr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1cAhnArnESaPXS1lQh/NKEnLkw==">CgMxLjAyDmguaDJsOGhzbXUxY2Q2Mg5oLmZld3c4cTE1cm9zdDIOaC42M2dsNG8xazVmMjc4AHIhMWdjNWVGcHdibFJWOWhLZ2hfQTdraVNGNjkyZnhFeUls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1082</Words>
  <Characters>5952</Characters>
  <Application>Microsoft Office Word</Application>
  <DocSecurity>0</DocSecurity>
  <Lines>49</Lines>
  <Paragraphs>14</Paragraphs>
  <ScaleCrop>false</ScaleCrop>
  <Company/>
  <LinksUpToDate>false</LinksUpToDate>
  <CharactersWithSpaces>7020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shcd</cp:lastModifiedBy>
  <cp:revision>7</cp:revision>
  <dcterms:created xsi:type="dcterms:W3CDTF">2026-01-21T11:23:00Z</dcterms:created>
  <dcterms:modified xsi:type="dcterms:W3CDTF">2026-04-06T14:47:00Z</dcterms:modified>
</cp:coreProperties>
</file>