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rPr>
          <w:rFonts w:ascii="Arial" w:cs="Arial" w:eastAsia="Arial" w:hAnsi="Arial"/>
          <w:b w:val="1"/>
          <w:bCs w:val="1"/>
          <w:color w:val="000000"/>
        </w:rPr>
      </w:pPr>
      <w:bookmarkStart w:colFirst="0" w:colLast="0" w:name="_ce2qp412zvv" w:id="0"/>
      <w:bookmarkEnd w:id="0"/>
      <w:r w:rsidDel="00000000" w:rsidR="00000000" w:rsidRPr="00000000">
        <w:rPr>
          <w:rFonts w:ascii="Arial" w:cs="Arial" w:eastAsia="Arial" w:hAnsi="Arial"/>
          <w:b w:val="1"/>
          <w:bCs w:val="1"/>
          <w:color w:val="000000"/>
          <w:rtl w:val="0"/>
        </w:rPr>
        <w:t xml:space="preserve">                                                                                  ORDENANZA Nº 4346/2026.-</w:t>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Arial" w:cs="Arial" w:eastAsia="Arial" w:hAnsi="Arial"/>
          <w:b w:val="1"/>
          <w:bCs w:val="1"/>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rPr>
          <w:rFonts w:ascii="Arial" w:cs="Arial" w:eastAsia="Arial" w:hAnsi="Arial"/>
          <w:b w:val="1"/>
          <w:bCs w:val="1"/>
        </w:rPr>
      </w:pPr>
      <w:r w:rsidDel="00000000" w:rsidR="00000000" w:rsidRPr="00000000">
        <w:rPr>
          <w:rtl w:val="0"/>
        </w:rPr>
      </w:r>
    </w:p>
    <w:p w:rsidR="00000000" w:rsidDel="00000000" w:rsidP="00000000" w:rsidRDefault="00000000" w:rsidRPr="00000000" w14:paraId="00000004">
      <w:pPr>
        <w:pBdr>
          <w:top w:color="000000" w:space="1" w:sz="24" w:val="single"/>
          <w:left w:color="000000" w:space="4" w:sz="24" w:val="single"/>
          <w:bottom w:color="000000" w:space="1" w:sz="24" w:val="single"/>
          <w:right w:color="000000" w:space="4" w:sz="24" w:val="single"/>
          <w:between w:space="0" w:sz="0" w:val="nil"/>
        </w:pBdr>
        <w:tabs>
          <w:tab w:val="left" w:leader="none" w:pos="2268"/>
        </w:tabs>
        <w:spacing w:after="240" w:lineRule="auto"/>
        <w:jc w:val="center"/>
        <w:rPr>
          <w:rFonts w:ascii="Arial" w:cs="Arial" w:eastAsia="Arial" w:hAnsi="Arial"/>
          <w:b w:val="1"/>
          <w:bCs w:val="1"/>
          <w:smallCaps w:val="1"/>
          <w:color w:val="000000"/>
        </w:rPr>
      </w:pPr>
      <w:bookmarkStart w:colFirst="0" w:colLast="0" w:name="_tqllkvtddrmc" w:id="1"/>
      <w:bookmarkEnd w:id="1"/>
      <w:r w:rsidDel="00000000" w:rsidR="00000000" w:rsidRPr="00000000">
        <w:rPr>
          <w:rFonts w:ascii="Arial" w:cs="Arial" w:eastAsia="Arial" w:hAnsi="Arial"/>
          <w:b w:val="1"/>
          <w:bCs w:val="1"/>
          <w:smallCaps w:val="1"/>
          <w:color w:val="000000"/>
          <w:rtl w:val="0"/>
        </w:rPr>
        <w:t xml:space="preserve">TÍTULO:</w:t>
      </w:r>
      <w:r w:rsidDel="00000000" w:rsidR="00000000" w:rsidRPr="00000000">
        <w:rPr>
          <w:rFonts w:ascii="Arial" w:cs="Arial" w:eastAsia="Arial" w:hAnsi="Arial"/>
          <w:b w:val="1"/>
          <w:bCs w:val="1"/>
          <w:smallCaps w:val="1"/>
          <w:rtl w:val="0"/>
        </w:rPr>
        <w:t xml:space="preserve"> AUTORIZACIÓN AL PODER EJECUTIVO MUNICIPAL A FIRMAR LA ADDENDA AL CONTRATO DE OBRA PÚBLICA “PAVIMENTO, CORDÓN CUNETA Y DESAGÜES PLUVIALES EN BARRIOS EL MALLÍN Y LAS MARGARITAS”.</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360" w:lineRule="auto"/>
        <w:jc w:val="both"/>
        <w:rPr>
          <w:rFonts w:ascii="Arial" w:cs="Arial" w:eastAsia="Arial" w:hAnsi="Arial"/>
          <w:color w:val="000000"/>
        </w:rPr>
      </w:pPr>
      <w:r w:rsidDel="00000000" w:rsidR="00000000" w:rsidRPr="00000000">
        <w:rPr>
          <w:rFonts w:ascii="Arial" w:cs="Arial" w:eastAsia="Arial" w:hAnsi="Arial"/>
          <w:b w:val="1"/>
          <w:bCs w:val="1"/>
          <w:color w:val="000000"/>
          <w:rtl w:val="0"/>
        </w:rPr>
        <w:t xml:space="preserve">VISTO</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t xml:space="preserve">El Expediente N° 19-P-2026, la Ley Provincial N°687/78 y sus modificatorias, el Decreto Municipal N°970/2025 y la Ordenanza Municipal N°4234/2025, el dictamen de Auditoría Municipal N°025-AU-2026, y</w:t>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CONSIDERANDO:</w:t>
        <w:tab/>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jc w:val="both"/>
        <w:rPr>
          <w:rFonts w:ascii="Arial" w:cs="Arial" w:eastAsia="Arial" w:hAnsi="Arial"/>
          <w:color w:val="000000"/>
        </w:rPr>
      </w:pPr>
      <w:r w:rsidDel="00000000" w:rsidR="00000000" w:rsidRPr="00000000">
        <w:rPr>
          <w:rFonts w:ascii="Arial" w:cs="Arial" w:eastAsia="Arial" w:hAnsi="Arial"/>
          <w:b w:val="1"/>
          <w:bCs w:val="1"/>
          <w:color w:val="000000"/>
          <w:rtl w:val="0"/>
        </w:rPr>
        <w:tab/>
        <w:tab/>
      </w:r>
      <w:r w:rsidDel="00000000" w:rsidR="00000000" w:rsidRPr="00000000">
        <w:rPr>
          <w:rFonts w:ascii="Arial" w:cs="Arial" w:eastAsia="Arial" w:hAnsi="Arial"/>
          <w:color w:val="000000"/>
          <w:rtl w:val="0"/>
        </w:rPr>
        <w:t xml:space="preserve">       </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color w:val="000000"/>
          <w:sz w:val="26"/>
          <w:szCs w:val="26"/>
        </w:rPr>
      </w:pPr>
      <w:r w:rsidDel="00000000" w:rsidR="00000000" w:rsidRPr="00000000">
        <w:rPr>
          <w:rFonts w:ascii="Arial" w:cs="Arial" w:eastAsia="Arial" w:hAnsi="Arial"/>
          <w:rtl w:val="0"/>
        </w:rPr>
        <w:t xml:space="preserve">Que, mediante el Decreto Municipal N° 970/2025 se adjudicó la ejecución de la obra pública denominada “Pavimento, cordón cuneta y desagües pluviales en barrios El Mallín y Las Margaritas”, en el marco del Expediente Administrativo N° 258-SVEI-2024;</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durante la ejecución de la obra se verificó la necesidad de incorporar trabajos adicionales y complementarios, así como de adecuar los cómputos métricos originalmente previstos, a fin de optimizar y complementar el alcance de la obra;</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en tal sentido, las adecuaciones previstas permitirán mejorar las condiciones de transitabilidad, seguridad, accesibilidad y ordenamiento territorial del área intervenida;</w:t>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resulta necesario instrumentar dichas modificaciones mediante la suscripción de una adenda contractual que delimite con precisión el alcance de los trabajos a incorporar;</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la normativa vigente en materia de obra pública prevé la posibilidad de introducir modificaciones durante la ejecución del contrato, incluyendo ajustes de cantidades e incorporación de trabajos complementarios, en tanto respondan a necesidades surgidas en el desarrollo de la obra y se mantengan dentro de los límites legalmente establecidos;</w:t>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en fecha 20 de abril del corriente año ingresa una nota de vecinos frentistas de la calle Vargas, dejando expresa constancia de que se encuentran en conocimiento de la incorporación de la calle en cuestión y comprenden los costos de ejecución de la obra y las responsabilidades que la misma puede llevar para ellos;</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sz w:val="26"/>
          <w:szCs w:val="26"/>
        </w:rPr>
      </w:pPr>
      <w:r w:rsidDel="00000000" w:rsidR="00000000" w:rsidRPr="00000000">
        <w:rPr>
          <w:rFonts w:ascii="Arial" w:cs="Arial" w:eastAsia="Arial" w:hAnsi="Arial"/>
          <w:rtl w:val="0"/>
        </w:rPr>
        <w:t xml:space="preserve">Que, en virtud de ello, y a fin de incorporar dichas adecuaciones al contrato de manera formal, resulta procedente la suscripción de una adenda que determine su alcance, condiciones de ejecución y correspondiente valuación</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76" w:lineRule="auto"/>
        <w:ind w:firstLine="708"/>
        <w:jc w:val="both"/>
        <w:rPr>
          <w:rFonts w:ascii="Arial" w:cs="Arial" w:eastAsia="Arial" w:hAnsi="Arial"/>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corresponde al Concejo Deliberante autorizar al Departamento Ejecutivo Municipal a suscribir la mencionada adenda, en virtud de las competencias que le son propias;</w:t>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76" w:lineRule="auto"/>
        <w:ind w:firstLine="708"/>
        <w:jc w:val="both"/>
        <w:rPr>
          <w:rFonts w:ascii="Arial" w:cs="Arial" w:eastAsia="Arial" w:hAnsi="Arial"/>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asimismo, resulta necesario otorgar celeridad al presente acto, en atención a las condiciones climáticas propias de la región y de la época, tales como precipitaciones, nevadas y bajas temperaturas, que pueden afectar el normal desarrollo de la obra, haciendo oportuno su tratamiento inmediato;</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line="276" w:lineRule="auto"/>
        <w:ind w:firstLine="708"/>
        <w:jc w:val="both"/>
        <w:rPr>
          <w:rFonts w:ascii="Arial" w:cs="Arial" w:eastAsia="Arial" w:hAnsi="Arial"/>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Fonts w:ascii="Arial" w:cs="Arial" w:eastAsia="Arial" w:hAnsi="Arial"/>
          <w:rtl w:val="0"/>
        </w:rPr>
        <w:t xml:space="preserve">Que, el financiamiento de los trabajos de la obra será afrontado con recursos propios del Tesoro Municipal, imputándose el gasto a la Partida Presupuestaria N° 4220, correspondiente a la cuenta: “Pavimento y Cordón Cuneta en Conectores Urbanos” destinada a consolidar la estructura urbana, optimizar la conectividad vial, fortalecer la articulación del tejido urbano y promover un desarrollo urbano planificado;</w:t>
      </w:r>
    </w:p>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76" w:lineRule="auto"/>
        <w:ind w:firstLine="1984"/>
        <w:jc w:val="both"/>
        <w:rPr>
          <w:rFonts w:ascii="Arial" w:cs="Arial" w:eastAsia="Arial" w:hAnsi="Arial"/>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pacing w:line="276" w:lineRule="auto"/>
        <w:ind w:firstLine="708"/>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tabs>
          <w:tab w:val="left" w:leader="none" w:pos="562"/>
        </w:tabs>
        <w:ind w:firstLine="425"/>
        <w:jc w:val="center"/>
        <w:rPr>
          <w:rFonts w:ascii="Arial" w:cs="Arial" w:eastAsia="Arial" w:hAnsi="Arial"/>
          <w:color w:val="000000"/>
        </w:rPr>
      </w:pPr>
      <w:r w:rsidDel="00000000" w:rsidR="00000000" w:rsidRPr="00000000">
        <w:rPr>
          <w:rFonts w:ascii="Arial" w:cs="Arial" w:eastAsia="Arial" w:hAnsi="Arial"/>
          <w:b w:val="1"/>
          <w:bCs w:val="1"/>
          <w:color w:val="000000"/>
          <w:rtl w:val="0"/>
        </w:rPr>
        <w:t xml:space="preserve">Por ello y conforme a lo dispuesto en el Art. 107 de la carta Orgánica Municipal</w:t>
      </w: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76" w:lineRule="auto"/>
        <w:jc w:val="center"/>
        <w:rPr>
          <w:rFonts w:ascii="Arial" w:cs="Arial" w:eastAsia="Arial" w:hAnsi="Arial"/>
          <w:color w:val="000000"/>
        </w:rPr>
      </w:pPr>
      <w:r w:rsidDel="00000000" w:rsidR="00000000" w:rsidRPr="00000000">
        <w:rPr>
          <w:rFonts w:ascii="Arial" w:cs="Arial" w:eastAsia="Arial" w:hAnsi="Arial"/>
          <w:color w:val="000000"/>
          <w:rtl w:val="0"/>
        </w:rPr>
        <w:tab/>
        <w:t xml:space="preserve"> </w:t>
      </w:r>
    </w:p>
    <w:p w:rsidR="00000000" w:rsidDel="00000000" w:rsidP="00000000" w:rsidRDefault="00000000" w:rsidRPr="00000000" w14:paraId="0000001E">
      <w:pPr>
        <w:pBdr>
          <w:top w:space="0" w:sz="0" w:val="nil"/>
          <w:left w:space="0" w:sz="0" w:val="nil"/>
          <w:bottom w:space="0" w:sz="0" w:val="nil"/>
          <w:right w:space="0" w:sz="0" w:val="nil"/>
          <w:between w:space="0" w:sz="0" w:val="nil"/>
        </w:pBdr>
        <w:jc w:val="center"/>
        <w:rPr>
          <w:rFonts w:ascii="Arial" w:cs="Arial" w:eastAsia="Arial" w:hAnsi="Arial"/>
          <w:color w:val="000000"/>
        </w:rPr>
      </w:pPr>
      <w:r w:rsidDel="00000000" w:rsidR="00000000" w:rsidRPr="00000000">
        <w:rPr>
          <w:rFonts w:ascii="Arial" w:cs="Arial" w:eastAsia="Arial" w:hAnsi="Arial"/>
          <w:color w:val="000000"/>
          <w:rtl w:val="0"/>
        </w:rPr>
        <w:t xml:space="preserve">     </w:t>
        <w:tab/>
        <w:tab/>
        <w:t xml:space="preserve">        </w:t>
      </w:r>
    </w:p>
    <w:p w:rsidR="00000000" w:rsidDel="00000000" w:rsidP="00000000" w:rsidRDefault="00000000" w:rsidRPr="00000000" w14:paraId="0000001F">
      <w:pPr>
        <w:pStyle w:val="Heading2"/>
        <w:rPr>
          <w:rFonts w:ascii="Arial" w:cs="Arial" w:eastAsia="Arial" w:hAnsi="Arial"/>
        </w:rPr>
      </w:pPr>
      <w:r w:rsidDel="00000000" w:rsidR="00000000" w:rsidRPr="00000000">
        <w:rPr>
          <w:rFonts w:ascii="Arial" w:cs="Arial" w:eastAsia="Arial" w:hAnsi="Arial"/>
          <w:rtl w:val="0"/>
        </w:rPr>
        <w:t xml:space="preserve">El Concejo Deliberante de la Municipalidad de Villa La Angostura</w:t>
      </w:r>
    </w:p>
    <w:p w:rsidR="00000000" w:rsidDel="00000000" w:rsidP="00000000" w:rsidRDefault="00000000" w:rsidRPr="00000000" w14:paraId="00000020">
      <w:pPr>
        <w:pStyle w:val="Heading2"/>
        <w:rPr>
          <w:rFonts w:ascii="Arial" w:cs="Arial" w:eastAsia="Arial" w:hAnsi="Arial"/>
        </w:rPr>
      </w:pPr>
      <w:r w:rsidDel="00000000" w:rsidR="00000000" w:rsidRPr="00000000">
        <w:rPr>
          <w:rFonts w:ascii="Arial" w:cs="Arial" w:eastAsia="Arial" w:hAnsi="Arial"/>
          <w:rtl w:val="0"/>
        </w:rPr>
        <w:t xml:space="preserve">SANCIONA CON FUERZA DE</w:t>
      </w:r>
    </w:p>
    <w:p w:rsidR="00000000" w:rsidDel="00000000" w:rsidP="00000000" w:rsidRDefault="00000000" w:rsidRPr="00000000" w14:paraId="00000021">
      <w:pPr>
        <w:pStyle w:val="Heading2"/>
        <w:rPr>
          <w:rFonts w:ascii="Arial" w:cs="Arial" w:eastAsia="Arial" w:hAnsi="Arial"/>
        </w:rPr>
      </w:pPr>
      <w:r w:rsidDel="00000000" w:rsidR="00000000" w:rsidRPr="00000000">
        <w:rPr>
          <w:rFonts w:ascii="Arial" w:cs="Arial" w:eastAsia="Arial" w:hAnsi="Arial"/>
          <w:rtl w:val="0"/>
        </w:rPr>
        <w:t xml:space="preserve">ORDENANZA</w:t>
      </w:r>
    </w:p>
    <w:p w:rsidR="00000000" w:rsidDel="00000000" w:rsidP="00000000" w:rsidRDefault="00000000" w:rsidRPr="00000000" w14:paraId="00000022">
      <w:pPr>
        <w:pStyle w:val="Heading2"/>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jc w:val="both"/>
        <w:rPr>
          <w:rFonts w:ascii="Arial" w:cs="Arial" w:eastAsia="Arial" w:hAnsi="Arial"/>
          <w:highlight w:val="white"/>
        </w:rPr>
      </w:pPr>
      <w:bookmarkStart w:colFirst="0" w:colLast="0" w:name="_iash3rjw6inl" w:id="2"/>
      <w:bookmarkEnd w:id="2"/>
      <w:r w:rsidDel="00000000" w:rsidR="00000000" w:rsidRPr="00000000">
        <w:rPr>
          <w:rFonts w:ascii="Arial" w:cs="Arial" w:eastAsia="Arial" w:hAnsi="Arial"/>
          <w:b w:val="1"/>
          <w:bCs w:val="1"/>
          <w:color w:val="000000"/>
          <w:rtl w:val="0"/>
        </w:rPr>
        <w:t xml:space="preserve">ARTÍCULO 1º:</w:t>
      </w:r>
      <w:r w:rsidDel="00000000" w:rsidR="00000000" w:rsidRPr="00000000">
        <w:rPr>
          <w:rFonts w:ascii="Arial" w:cs="Arial" w:eastAsia="Arial" w:hAnsi="Arial"/>
          <w:color w:val="000000"/>
          <w:rtl w:val="0"/>
        </w:rPr>
        <w:t xml:space="preserve"> </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AUTORÍZASE</w:t>
      </w:r>
      <w:r w:rsidDel="00000000" w:rsidR="00000000" w:rsidRPr="00000000">
        <w:rPr>
          <w:rFonts w:ascii="Arial" w:cs="Arial" w:eastAsia="Arial" w:hAnsi="Arial"/>
          <w:rtl w:val="0"/>
        </w:rPr>
        <w:t xml:space="preserve"> al Departamento Ejecutivo Municipal a suscribir la Addenda al Contrato de Obra Pública aprobado por Decreto Municipal N° 970/2025, correspondiente a la obra denominada “Pavimen</w:t>
      </w:r>
      <w:r w:rsidDel="00000000" w:rsidR="00000000" w:rsidRPr="00000000">
        <w:rPr>
          <w:rFonts w:ascii="Arial" w:cs="Arial" w:eastAsia="Arial" w:hAnsi="Arial"/>
          <w:highlight w:val="white"/>
          <w:rtl w:val="0"/>
        </w:rPr>
        <w:t xml:space="preserve">to, cordón cuneta y desagües pluviales en barrios El Mallín y Las Margaritas” a celebrarse con la empresa CODI S.A., por un monto total de PESOS NOVENTA Y SIETE MILLONES TRESCIENTOS SETENTA Y CUATRO MIL SETECIENTOS OCHO CON SETENTA NUEVE CENTAVOS ($97.374.708,79), conforme al modelo de Addenda que se incorpora como Anexo I de la presente, donde se establecen los términos, condiciones y alcances de los trabajos comprendidos en la obra.-</w:t>
      </w:r>
    </w:p>
    <w:p w:rsidR="00000000" w:rsidDel="00000000" w:rsidP="00000000" w:rsidRDefault="00000000" w:rsidRPr="00000000" w14:paraId="00000024">
      <w:pPr>
        <w:pBdr>
          <w:top w:space="0" w:sz="0" w:val="nil"/>
          <w:left w:space="0" w:sz="0" w:val="nil"/>
          <w:bottom w:space="0" w:sz="0" w:val="nil"/>
          <w:right w:space="0" w:sz="0" w:val="nil"/>
          <w:between w:space="0" w:sz="0" w:val="nil"/>
        </w:pBdr>
        <w:jc w:val="both"/>
        <w:rPr>
          <w:rFonts w:ascii="Arial" w:cs="Arial" w:eastAsia="Arial" w:hAnsi="Arial"/>
          <w:highlight w:val="white"/>
        </w:rPr>
      </w:pPr>
      <w:bookmarkStart w:colFirst="0" w:colLast="0" w:name="_o44jksmz60in" w:id="3"/>
      <w:bookmarkEnd w:id="3"/>
      <w:r w:rsidDel="00000000" w:rsidR="00000000" w:rsidRPr="00000000">
        <w:rPr>
          <w:rtl w:val="0"/>
        </w:rPr>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b w:val="1"/>
          <w:bCs w:val="1"/>
          <w:highlight w:val="white"/>
          <w:rtl w:val="0"/>
        </w:rPr>
        <w:t xml:space="preserve">ARTÍCULO 2°: IMPÚTESE </w:t>
      </w:r>
      <w:r w:rsidDel="00000000" w:rsidR="00000000" w:rsidRPr="00000000">
        <w:rPr>
          <w:rFonts w:ascii="Arial" w:cs="Arial" w:eastAsia="Arial" w:hAnsi="Arial"/>
          <w:highlight w:val="white"/>
          <w:rtl w:val="0"/>
        </w:rPr>
        <w:t xml:space="preserve">el gasto que demande por un monto total de PESOS NOVENTA Y SIETE MILLONES TRESCIENTOS SETENTA Y CUATRO MIL SETECIENTOS OCHO CON SETENTA  NUEVE CENTAVOS ($97.374.708,79) a</w:t>
      </w:r>
      <w:r w:rsidDel="00000000" w:rsidR="00000000" w:rsidRPr="00000000">
        <w:rPr>
          <w:rFonts w:ascii="Arial" w:cs="Arial" w:eastAsia="Arial" w:hAnsi="Arial"/>
          <w:rtl w:val="0"/>
        </w:rPr>
        <w:t xml:space="preserve"> la Partida: 4220, dentro de la Cuenta: “Pavimento y Cordón Cuneta en Conectores Urbanos”. Fuente: Tesoro Municipal-.</w:t>
      </w:r>
    </w:p>
    <w:p w:rsidR="00000000" w:rsidDel="00000000" w:rsidP="00000000" w:rsidRDefault="00000000" w:rsidRPr="00000000" w14:paraId="00000026">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jc w:val="both"/>
        <w:rPr>
          <w:rFonts w:ascii="Arial" w:cs="Arial" w:eastAsia="Arial" w:hAnsi="Arial"/>
          <w:color w:val="000000"/>
        </w:rPr>
      </w:pPr>
      <w:r w:rsidDel="00000000" w:rsidR="00000000" w:rsidRPr="00000000">
        <w:rPr>
          <w:rFonts w:ascii="Arial" w:cs="Arial" w:eastAsia="Arial" w:hAnsi="Arial"/>
          <w:b w:val="1"/>
          <w:bCs w:val="1"/>
          <w:color w:val="000000"/>
          <w:rtl w:val="0"/>
        </w:rPr>
        <w:t xml:space="preserve">ARTÍCULO </w:t>
      </w:r>
      <w:r w:rsidDel="00000000" w:rsidR="00000000" w:rsidRPr="00000000">
        <w:rPr>
          <w:rFonts w:ascii="Arial" w:cs="Arial" w:eastAsia="Arial" w:hAnsi="Arial"/>
          <w:b w:val="1"/>
          <w:bCs w:val="1"/>
          <w:rtl w:val="0"/>
        </w:rPr>
        <w:t xml:space="preserve">3</w:t>
      </w:r>
      <w:r w:rsidDel="00000000" w:rsidR="00000000" w:rsidRPr="00000000">
        <w:rPr>
          <w:rFonts w:ascii="Arial" w:cs="Arial" w:eastAsia="Arial" w:hAnsi="Arial"/>
          <w:b w:val="1"/>
          <w:bCs w:val="1"/>
          <w:color w:val="000000"/>
          <w:rtl w:val="0"/>
        </w:rPr>
        <w:t xml:space="preserve">°: PASE </w:t>
      </w:r>
      <w:r w:rsidDel="00000000" w:rsidR="00000000" w:rsidRPr="00000000">
        <w:rPr>
          <w:rFonts w:ascii="Arial" w:cs="Arial" w:eastAsia="Arial" w:hAnsi="Arial"/>
          <w:color w:val="000000"/>
          <w:rtl w:val="0"/>
        </w:rPr>
        <w:t xml:space="preserve">al Departamento Ejecutivo Municipal para su promulgación. Comuníquese. Regístrese. Publíquese. Cumplido. Archívese.-</w:t>
      </w:r>
    </w:p>
    <w:p w:rsidR="00000000" w:rsidDel="00000000" w:rsidP="00000000" w:rsidRDefault="00000000" w:rsidRPr="00000000" w14:paraId="00000028">
      <w:pPr>
        <w:pBdr>
          <w:top w:space="0" w:sz="0" w:val="nil"/>
          <w:left w:space="0" w:sz="0" w:val="nil"/>
          <w:bottom w:space="0" w:sz="0" w:val="nil"/>
          <w:right w:space="0" w:sz="0" w:val="nil"/>
          <w:between w:space="0" w:sz="0" w:val="nil"/>
        </w:pBdr>
        <w:jc w:val="both"/>
        <w:rPr>
          <w:rFonts w:ascii="Arial" w:cs="Arial" w:eastAsia="Arial" w:hAnsi="Arial"/>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jc w:val="both"/>
        <w:rPr>
          <w:rFonts w:ascii="Arial" w:cs="Arial" w:eastAsia="Arial" w:hAnsi="Arial"/>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left" w:leader="none" w:pos="2835"/>
        </w:tabs>
        <w:jc w:val="center"/>
        <w:rPr>
          <w:rFonts w:ascii="Arial" w:cs="Arial" w:eastAsia="Arial" w:hAnsi="Arial"/>
          <w:color w:val="000000"/>
        </w:rPr>
      </w:pPr>
      <w:r w:rsidDel="00000000" w:rsidR="00000000" w:rsidRPr="00000000">
        <w:rPr>
          <w:rFonts w:ascii="Arial" w:cs="Arial" w:eastAsia="Arial" w:hAnsi="Arial"/>
          <w:color w:val="000000"/>
          <w:rtl w:val="0"/>
        </w:rPr>
        <w:t xml:space="preserve"> Dada en la Sala de Sesiones Don Humberto Rolando del Concejo Deliberante, a los veintiún días del mes de abril del año 2026, en Sesión </w:t>
      </w:r>
      <w:r w:rsidDel="00000000" w:rsidR="00000000" w:rsidRPr="00000000">
        <w:rPr>
          <w:rFonts w:ascii="Arial" w:cs="Arial" w:eastAsia="Arial" w:hAnsi="Arial"/>
          <w:rtl w:val="0"/>
        </w:rPr>
        <w:t xml:space="preserve">Especial </w:t>
      </w:r>
      <w:r w:rsidDel="00000000" w:rsidR="00000000" w:rsidRPr="00000000">
        <w:rPr>
          <w:rFonts w:ascii="Arial" w:cs="Arial" w:eastAsia="Arial" w:hAnsi="Arial"/>
          <w:color w:val="000000"/>
          <w:rtl w:val="0"/>
        </w:rPr>
        <w:t xml:space="preserve">N° VI, Acta N° 1985.-</w:t>
      </w:r>
    </w:p>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Arial" w:cs="Arial" w:eastAsia="Arial" w:hAnsi="Arial"/>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Arial" w:cs="Arial" w:eastAsia="Arial" w:hAnsi="Arial"/>
        </w:rPr>
      </w:pPr>
      <w:r w:rsidDel="00000000" w:rsidR="00000000" w:rsidRPr="00000000">
        <w:rPr>
          <w:rtl w:val="0"/>
        </w:rPr>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rtl w:val="0"/>
        </w:rPr>
        <w:t xml:space="preserve">Fdo. Raimondo Sebastián (Presidente CD) </w:t>
        <w:tab/>
        <w:tab/>
        <w:t xml:space="preserve">     </w:t>
      </w:r>
    </w:p>
    <w:p w:rsidR="00000000" w:rsidDel="00000000" w:rsidP="00000000" w:rsidRDefault="00000000" w:rsidRPr="00000000" w14:paraId="0000002E">
      <w:pPr>
        <w:rPr>
          <w:rFonts w:ascii="Arial" w:cs="Arial" w:eastAsia="Arial" w:hAnsi="Arial"/>
        </w:rPr>
      </w:pPr>
      <w:r w:rsidDel="00000000" w:rsidR="00000000" w:rsidRPr="00000000">
        <w:rPr>
          <w:rFonts w:ascii="Arial" w:cs="Arial" w:eastAsia="Arial" w:hAnsi="Arial"/>
          <w:rtl w:val="0"/>
        </w:rPr>
        <w:t xml:space="preserve">Jimena de los Ángeles Montero (Secretaria CD)</w:t>
      </w:r>
    </w:p>
    <w:p w:rsidR="00000000" w:rsidDel="00000000" w:rsidP="00000000" w:rsidRDefault="00000000" w:rsidRPr="00000000" w14:paraId="0000002F">
      <w:pPr>
        <w:rPr>
          <w:rFonts w:ascii="Arial" w:cs="Arial" w:eastAsia="Arial" w:hAnsi="Arial"/>
        </w:rPr>
      </w:pPr>
      <w:r w:rsidDel="00000000" w:rsidR="00000000" w:rsidRPr="00000000">
        <w:rPr>
          <w:rtl w:val="0"/>
        </w:rPr>
      </w:r>
    </w:p>
    <w:sectPr>
      <w:headerReference r:id="rId6" w:type="default"/>
      <w:headerReference r:id="rId7" w:type="even"/>
      <w:footerReference r:id="rId8" w:type="default"/>
      <w:pgSz w:h="20160" w:w="12240" w:orient="portrait"/>
      <w:pgMar w:bottom="567" w:top="1304" w:left="1418" w:right="902" w:header="426" w:footer="9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Bookman Old Style"/>
  <w:font w:name="Arial Narrow"/>
  <w:font w:name="Tahoma"/>
  <w:font w:name="Times New Roman"/>
  <w:font w:name="Georgia"/>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pBdr>
        <w:top w:color="000000" w:space="0" w:sz="0" w:val="none"/>
        <w:left w:color="000000" w:space="0" w:sz="0" w:val="none"/>
        <w:bottom w:color="000000" w:space="10" w:sz="0" w:val="none"/>
        <w:right w:color="000000" w:space="0" w:sz="0" w:val="none"/>
        <w:between w:color="000000" w:space="0" w:sz="0" w:val="none"/>
      </w:pBdr>
      <w:spacing w:before="240" w:line="276" w:lineRule="auto"/>
      <w:rPr>
        <w:color w:val="222222"/>
        <w:sz w:val="20"/>
        <w:szCs w:val="20"/>
        <w:highlight w:val="whit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Bdr>
        <w:top w:color="000000" w:space="0" w:sz="0" w:val="none"/>
        <w:left w:color="000000" w:space="0" w:sz="0" w:val="none"/>
        <w:bottom w:color="000000" w:space="10" w:sz="0" w:val="none"/>
        <w:right w:color="000000" w:space="0" w:sz="0" w:val="none"/>
        <w:between w:color="000000" w:space="0" w:sz="0" w:val="none"/>
      </w:pBdr>
      <w:spacing w:before="240" w:line="276" w:lineRule="auto"/>
      <w:jc w:val="center"/>
      <w:rPr>
        <w:rFonts w:ascii="Calibri" w:cs="Calibri" w:eastAsia="Calibri" w:hAnsi="Calibri"/>
        <w:sz w:val="22"/>
        <w:szCs w:val="22"/>
      </w:rPr>
    </w:pPr>
    <w:r w:rsidDel="00000000" w:rsidR="00000000" w:rsidRPr="00000000">
      <w:rPr>
        <w:rFonts w:ascii="Calibri" w:cs="Calibri" w:eastAsia="Calibri" w:hAnsi="Calibri"/>
        <w:color w:val="222222"/>
        <w:highlight w:val="white"/>
        <w:rtl w:val="0"/>
      </w:rPr>
      <w:t xml:space="preserve">“A 50 Años de la Dictadura Cívico-Militar: Memoria, Verdad y Justicia”</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0">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i w:val="1"/>
        <w:iCs w:val="1"/>
        <w:color w:val="000000"/>
        <w:sz w:val="18"/>
        <w:szCs w:val="18"/>
      </w:rPr>
      <w:drawing>
        <wp:inline distB="0" distT="0" distL="0" distR="0">
          <wp:extent cx="2162175" cy="1419225"/>
          <wp:effectExtent b="0" l="0" r="0" t="0"/>
          <wp:docPr descr="logo_municipalidad_2012" id="1" name="image1.png"/>
          <a:graphic>
            <a:graphicData uri="http://schemas.openxmlformats.org/drawingml/2006/picture">
              <pic:pic>
                <pic:nvPicPr>
                  <pic:cNvPr descr="logo_municipalidad_2012" id="0" name="image1.png"/>
                  <pic:cNvPicPr preferRelativeResize="0"/>
                </pic:nvPicPr>
                <pic:blipFill>
                  <a:blip r:embed="rId1"/>
                  <a:srcRect b="0" l="0" r="0" t="0"/>
                  <a:stretch>
                    <a:fillRect/>
                  </a:stretch>
                </pic:blipFill>
                <pic:spPr>
                  <a:xfrm>
                    <a:off x="0" y="0"/>
                    <a:ext cx="2162175" cy="1419225"/>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space="0" w:sz="0" w:val="nil"/>
        <w:left w:space="0" w:sz="0" w:val="nil"/>
        <w:bottom w:color="000000" w:space="1" w:sz="4" w:val="single"/>
        <w:right w:space="0" w:sz="0" w:val="nil"/>
        <w:between w:space="0" w:sz="0" w:val="nil"/>
      </w:pBdr>
      <w:tabs>
        <w:tab w:val="center" w:leader="none" w:pos="4419"/>
        <w:tab w:val="right" w:leader="none" w:pos="8838"/>
        <w:tab w:val="left" w:leader="none" w:pos="8838"/>
      </w:tabs>
      <w:jc w:val="center"/>
      <w:rPr>
        <w:rFonts w:ascii="Arial" w:cs="Arial" w:eastAsia="Arial" w:hAnsi="Arial"/>
        <w:b w:val="1"/>
        <w:bCs w:val="1"/>
        <w:color w:val="000000"/>
      </w:rPr>
    </w:pPr>
    <w:r w:rsidDel="00000000" w:rsidR="00000000" w:rsidRPr="00000000">
      <w:rPr>
        <w:b w:val="1"/>
        <w:bCs w:val="1"/>
        <w:color w:val="000000"/>
      </w:rPr>
      <w:drawing>
        <wp:inline distB="0" distT="0" distL="0" distR="0">
          <wp:extent cx="1266825" cy="942975"/>
          <wp:effectExtent b="0" l="0" r="0" t="0"/>
          <wp:docPr descr="logo mvla 2024  concejo deliberante 1color" id="2" name="image2.png"/>
          <a:graphic>
            <a:graphicData uri="http://schemas.openxmlformats.org/drawingml/2006/picture">
              <pic:pic>
                <pic:nvPicPr>
                  <pic:cNvPr descr="logo mvla 2024  concejo deliberante 1color" id="0" name="image2.png"/>
                  <pic:cNvPicPr preferRelativeResize="0"/>
                </pic:nvPicPr>
                <pic:blipFill>
                  <a:blip r:embed="rId1"/>
                  <a:srcRect b="0" l="0" r="0" t="0"/>
                  <a:stretch>
                    <a:fillRect/>
                  </a:stretch>
                </pic:blipFill>
                <pic:spPr>
                  <a:xfrm>
                    <a:off x="0" y="0"/>
                    <a:ext cx="1266825" cy="942975"/>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pBdr>
        <w:top w:space="0" w:sz="0" w:val="nil"/>
        <w:left w:space="0" w:sz="0" w:val="nil"/>
        <w:bottom w:color="000000" w:space="1" w:sz="4" w:val="single"/>
        <w:right w:space="0" w:sz="0" w:val="nil"/>
        <w:between w:space="0" w:sz="0" w:val="nil"/>
      </w:pBdr>
      <w:tabs>
        <w:tab w:val="center" w:leader="none" w:pos="4419"/>
        <w:tab w:val="right" w:leader="none" w:pos="8838"/>
      </w:tabs>
      <w:jc w:val="right"/>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ab/>
      <w:tab/>
    </w:r>
  </w:p>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Bookman Old Style" w:cs="Bookman Old Style" w:eastAsia="Bookman Old Style" w:hAnsi="Bookman Old Style"/>
        <w:sz w:val="24"/>
        <w:szCs w:val="24"/>
        <w:lang w:val="es-AR"/>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Bdr>
        <w:top w:space="0" w:sz="0" w:val="nil"/>
        <w:left w:space="0" w:sz="0" w:val="nil"/>
        <w:bottom w:space="0" w:sz="0" w:val="nil"/>
        <w:right w:space="0" w:sz="0" w:val="nil"/>
        <w:between w:space="0" w:sz="0" w:val="nil"/>
      </w:pBdr>
      <w:jc w:val="both"/>
    </w:pPr>
    <w:rPr>
      <w:rFonts w:ascii="Arial Narrow" w:cs="Arial Narrow" w:eastAsia="Arial Narrow" w:hAnsi="Arial Narrow"/>
      <w:b w:val="1"/>
      <w:bCs w:val="1"/>
      <w:color w:val="000000"/>
    </w:rPr>
  </w:style>
  <w:style w:type="paragraph" w:styleId="Heading2">
    <w:name w:val="heading 2"/>
    <w:basedOn w:val="Normal"/>
    <w:next w:val="Normal"/>
    <w:pPr>
      <w:keepNext w:val="1"/>
      <w:pBdr>
        <w:top w:space="0" w:sz="0" w:val="nil"/>
        <w:left w:space="0" w:sz="0" w:val="nil"/>
        <w:bottom w:space="0" w:sz="0" w:val="nil"/>
        <w:right w:space="0" w:sz="0" w:val="nil"/>
        <w:between w:space="0" w:sz="0" w:val="nil"/>
      </w:pBdr>
      <w:jc w:val="center"/>
    </w:pPr>
    <w:rPr>
      <w:rFonts w:ascii="Tahoma" w:cs="Tahoma" w:eastAsia="Tahoma" w:hAnsi="Tahoma"/>
      <w:b w:val="1"/>
      <w:bCs w:val="1"/>
      <w:color w:val="000000"/>
    </w:rPr>
  </w:style>
  <w:style w:type="paragraph" w:styleId="Heading3">
    <w:name w:val="heading 3"/>
    <w:basedOn w:val="Normal"/>
    <w:next w:val="Normal"/>
    <w:pPr>
      <w:keepNext w:val="1"/>
      <w:pBdr>
        <w:top w:space="0" w:sz="0" w:val="nil"/>
        <w:left w:space="0" w:sz="0" w:val="nil"/>
        <w:bottom w:space="0" w:sz="0" w:val="nil"/>
        <w:right w:space="0" w:sz="0" w:val="nil"/>
        <w:between w:space="0" w:sz="0" w:val="nil"/>
      </w:pBdr>
      <w:tabs>
        <w:tab w:val="left" w:leader="none" w:pos="2760"/>
      </w:tabs>
      <w:jc w:val="both"/>
    </w:pPr>
    <w:rPr>
      <w:color w:val="000000"/>
      <w:u w:val="single"/>
    </w:rPr>
  </w:style>
  <w:style w:type="paragraph" w:styleId="Heading4">
    <w:name w:val="heading 4"/>
    <w:basedOn w:val="Normal"/>
    <w:next w:val="Normal"/>
    <w:pPr>
      <w:keepNext w:val="1"/>
      <w:pBdr>
        <w:top w:space="0" w:sz="0" w:val="nil"/>
        <w:left w:space="0" w:sz="0" w:val="nil"/>
        <w:bottom w:space="0" w:sz="0" w:val="nil"/>
        <w:right w:space="0" w:sz="0" w:val="nil"/>
        <w:between w:space="0" w:sz="0" w:val="nil"/>
      </w:pBdr>
      <w:tabs>
        <w:tab w:val="left" w:leader="none" w:pos="2880"/>
      </w:tabs>
    </w:pPr>
    <w:rPr>
      <w:color w:val="000000"/>
      <w:u w:val="single"/>
    </w:rPr>
  </w:style>
  <w:style w:type="paragraph" w:styleId="Heading5">
    <w:name w:val="heading 5"/>
    <w:basedOn w:val="Normal"/>
    <w:next w:val="Normal"/>
    <w:pPr>
      <w:pBdr>
        <w:top w:space="0" w:sz="0" w:val="nil"/>
        <w:left w:space="0" w:sz="0" w:val="nil"/>
        <w:bottom w:space="0" w:sz="0" w:val="nil"/>
        <w:right w:space="0" w:sz="0" w:val="nil"/>
        <w:between w:space="0" w:sz="0" w:val="nil"/>
      </w:pBdr>
      <w:spacing w:after="60" w:before="240" w:lineRule="auto"/>
    </w:pPr>
    <w:rPr>
      <w:b w:val="1"/>
      <w:bCs w:val="1"/>
      <w:i w:val="1"/>
      <w:iCs w:val="1"/>
      <w:color w:val="000000"/>
      <w:sz w:val="26"/>
      <w:szCs w:val="26"/>
    </w:rPr>
  </w:style>
  <w:style w:type="paragraph" w:styleId="Heading6">
    <w:name w:val="heading 6"/>
    <w:basedOn w:val="Normal"/>
    <w:next w:val="Normal"/>
    <w:pPr>
      <w:pBdr>
        <w:top w:space="0" w:sz="0" w:val="nil"/>
        <w:left w:space="0" w:sz="0" w:val="nil"/>
        <w:bottom w:space="0" w:sz="0" w:val="nil"/>
        <w:right w:space="0" w:sz="0" w:val="nil"/>
        <w:between w:space="0" w:sz="0" w:val="nil"/>
      </w:pBdr>
      <w:spacing w:after="60" w:before="240" w:lineRule="auto"/>
    </w:pPr>
    <w:rPr>
      <w:rFonts w:ascii="Times New Roman" w:cs="Times New Roman" w:eastAsia="Times New Roman" w:hAnsi="Times New Roman"/>
      <w:b w:val="1"/>
      <w:bCs w:val="1"/>
      <w:color w:val="000000"/>
      <w:sz w:val="22"/>
      <w:szCs w:val="22"/>
    </w:rPr>
  </w:style>
  <w:style w:type="paragraph" w:styleId="Title">
    <w:name w:val="Title"/>
    <w:basedOn w:val="Normal"/>
    <w:next w:val="Normal"/>
    <w:pPr>
      <w:pBdr>
        <w:top w:space="0" w:sz="0" w:val="nil"/>
        <w:left w:space="0" w:sz="0" w:val="nil"/>
        <w:bottom w:space="0" w:sz="0" w:val="nil"/>
        <w:right w:space="0" w:sz="0" w:val="nil"/>
        <w:between w:space="0" w:sz="0" w:val="nil"/>
      </w:pBdr>
      <w:jc w:val="center"/>
    </w:pPr>
    <w:rPr>
      <w:b w:val="1"/>
      <w:bCs w:val="1"/>
      <w:color w:val="000000"/>
      <w:sz w:val="28"/>
      <w:szCs w:val="28"/>
    </w:rPr>
  </w:style>
  <w:style w:type="paragraph" w:styleId="Subtitle">
    <w:name w:val="Subtitle"/>
    <w:basedOn w:val="Normal"/>
    <w:next w:val="Normal"/>
    <w:pPr>
      <w:keepNext w:val="1"/>
      <w:keepLines w:val="1"/>
      <w:pBdr>
        <w:top w:space="0" w:sz="0" w:val="nil"/>
        <w:left w:space="0" w:sz="0" w:val="nil"/>
        <w:bottom w:space="0" w:sz="0" w:val="nil"/>
        <w:right w:space="0" w:sz="0" w:val="nil"/>
        <w:between w:space="0" w:sz="0" w:val="nil"/>
      </w:pBdr>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