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D6A07" w14:textId="77777777" w:rsidR="00603B7B" w:rsidRDefault="00E229C9">
      <w:pPr>
        <w:spacing w:after="280" w:line="240" w:lineRule="auto"/>
        <w:ind w:left="-425" w:right="-692"/>
        <w:jc w:val="right"/>
        <w:rPr>
          <w:rFonts w:ascii="Arial" w:eastAsia="Arial" w:hAnsi="Arial" w:cs="Arial"/>
          <w:b/>
          <w:bCs/>
          <w:sz w:val="24"/>
          <w:szCs w:val="24"/>
        </w:rPr>
      </w:pPr>
      <w:r>
        <w:rPr>
          <w:rFonts w:ascii="Arial" w:eastAsia="Arial" w:hAnsi="Arial" w:cs="Arial"/>
          <w:b/>
          <w:bCs/>
          <w:sz w:val="24"/>
          <w:szCs w:val="24"/>
        </w:rPr>
        <w:t xml:space="preserve"> </w:t>
      </w:r>
    </w:p>
    <w:p w14:paraId="74B94F94" w14:textId="3978552E" w:rsidR="00603B7B" w:rsidRDefault="00E229C9">
      <w:pPr>
        <w:spacing w:after="280" w:line="240" w:lineRule="auto"/>
        <w:ind w:left="-425" w:right="-692"/>
        <w:jc w:val="right"/>
        <w:rPr>
          <w:rFonts w:ascii="Arial" w:eastAsia="Arial" w:hAnsi="Arial" w:cs="Arial"/>
          <w:b/>
          <w:bCs/>
          <w:sz w:val="24"/>
          <w:szCs w:val="24"/>
        </w:rPr>
      </w:pPr>
      <w:r>
        <w:rPr>
          <w:rFonts w:ascii="Arial" w:eastAsia="Arial" w:hAnsi="Arial" w:cs="Arial"/>
          <w:b/>
          <w:bCs/>
          <w:sz w:val="24"/>
          <w:szCs w:val="24"/>
        </w:rPr>
        <w:t xml:space="preserve">ORDENANZA N.º </w:t>
      </w:r>
      <w:r w:rsidR="00873DF5">
        <w:rPr>
          <w:rFonts w:ascii="Arial" w:eastAsia="Arial" w:hAnsi="Arial" w:cs="Arial"/>
          <w:b/>
          <w:bCs/>
          <w:sz w:val="24"/>
          <w:szCs w:val="24"/>
        </w:rPr>
        <w:t>4382</w:t>
      </w:r>
      <w:r>
        <w:rPr>
          <w:rFonts w:ascii="Arial" w:eastAsia="Arial" w:hAnsi="Arial" w:cs="Arial"/>
          <w:b/>
          <w:bCs/>
          <w:sz w:val="24"/>
          <w:szCs w:val="24"/>
        </w:rPr>
        <w:t xml:space="preserve"> / 2026</w:t>
      </w:r>
    </w:p>
    <w:p w14:paraId="042ED416" w14:textId="17E85359" w:rsidR="00603B7B" w:rsidRDefault="00E229C9" w:rsidP="00866BFD">
      <w:pPr>
        <w:pBdr>
          <w:top w:val="single" w:sz="24" w:space="1" w:color="000000"/>
          <w:left w:val="single" w:sz="24" w:space="4" w:color="000000"/>
          <w:bottom w:val="single" w:sz="24" w:space="1" w:color="000000"/>
          <w:right w:val="single" w:sz="24" w:space="4" w:color="000000"/>
        </w:pBdr>
        <w:tabs>
          <w:tab w:val="left" w:pos="2268"/>
        </w:tabs>
        <w:spacing w:after="0" w:line="240" w:lineRule="auto"/>
        <w:jc w:val="center"/>
        <w:rPr>
          <w:rFonts w:ascii="Arial" w:eastAsia="Arial" w:hAnsi="Arial" w:cs="Arial"/>
          <w:b/>
          <w:bCs/>
          <w:sz w:val="24"/>
          <w:szCs w:val="24"/>
        </w:rPr>
      </w:pPr>
      <w:bookmarkStart w:id="0" w:name="_heading=h.feww8q15rost" w:colFirst="0" w:colLast="0"/>
      <w:bookmarkEnd w:id="0"/>
      <w:r>
        <w:rPr>
          <w:rFonts w:ascii="Arial" w:eastAsia="Arial" w:hAnsi="Arial" w:cs="Arial"/>
          <w:b/>
          <w:bCs/>
          <w:sz w:val="24"/>
          <w:szCs w:val="24"/>
        </w:rPr>
        <w:t>TÍTULO: “APROBACIÓN DE PLIEGO DE BASES Y CONDICIONES GENERALES LICITACIÓN N° 15/2026 – PRIMER LLAMADO - MANTENIMIENTO GENERAL DE ESTABLECIMIENTOS EDUCATIVOS DE VILLA LA ANGOSTURA - ZONA ÚNICA - AUTORIZAR PRÓRROGA DE CONTRATACIONES PARA MANTENIMIENTO ESCOLAR”</w:t>
      </w:r>
      <w:r w:rsidR="00866BFD">
        <w:rPr>
          <w:rFonts w:ascii="Arial" w:eastAsia="Arial" w:hAnsi="Arial" w:cs="Arial"/>
          <w:b/>
          <w:bCs/>
          <w:sz w:val="24"/>
          <w:szCs w:val="24"/>
        </w:rPr>
        <w:t>.-</w:t>
      </w:r>
    </w:p>
    <w:p w14:paraId="138AF216" w14:textId="77777777" w:rsidR="00603B7B" w:rsidRDefault="00603B7B">
      <w:pPr>
        <w:spacing w:before="280" w:after="280" w:line="240" w:lineRule="auto"/>
        <w:ind w:left="-425" w:right="-692"/>
        <w:jc w:val="both"/>
        <w:rPr>
          <w:rFonts w:ascii="Arial" w:eastAsia="Arial" w:hAnsi="Arial" w:cs="Arial"/>
          <w:b/>
          <w:bCs/>
          <w:sz w:val="24"/>
          <w:szCs w:val="24"/>
        </w:rPr>
      </w:pPr>
    </w:p>
    <w:p w14:paraId="54760245" w14:textId="77777777" w:rsidR="00603B7B" w:rsidRDefault="00E229C9">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VISTO:</w:t>
      </w:r>
    </w:p>
    <w:p w14:paraId="4E41E775" w14:textId="77777777" w:rsidR="00603B7B" w:rsidRDefault="00E229C9">
      <w:pPr>
        <w:spacing w:before="280" w:after="280" w:line="240" w:lineRule="auto"/>
        <w:ind w:left="-425" w:right="-692" w:firstLine="1275"/>
        <w:jc w:val="both"/>
        <w:rPr>
          <w:rFonts w:ascii="Arial" w:eastAsia="Arial" w:hAnsi="Arial" w:cs="Arial"/>
          <w:sz w:val="24"/>
          <w:szCs w:val="24"/>
        </w:rPr>
      </w:pPr>
      <w:r>
        <w:rPr>
          <w:rFonts w:ascii="Arial" w:eastAsia="Arial" w:hAnsi="Arial" w:cs="Arial"/>
          <w:sz w:val="24"/>
          <w:szCs w:val="24"/>
        </w:rPr>
        <w:t>El Expediente</w:t>
      </w:r>
      <w:r>
        <w:rPr>
          <w:rFonts w:ascii="Arial" w:eastAsia="Arial" w:hAnsi="Arial" w:cs="Arial"/>
          <w:sz w:val="24"/>
          <w:szCs w:val="24"/>
          <w:highlight w:val="white"/>
        </w:rPr>
        <w:t xml:space="preserve"> N°142-ME-2026, la Ordenanza N°4305/25 y Ordenanza N°4330/25</w:t>
      </w:r>
      <w:r>
        <w:rPr>
          <w:rFonts w:ascii="Arial" w:eastAsia="Arial" w:hAnsi="Arial" w:cs="Arial"/>
          <w:sz w:val="24"/>
          <w:szCs w:val="24"/>
        </w:rPr>
        <w:t>; y</w:t>
      </w:r>
    </w:p>
    <w:p w14:paraId="51595DE7" w14:textId="77777777" w:rsidR="00603B7B" w:rsidRDefault="00603B7B">
      <w:pPr>
        <w:spacing w:before="280" w:after="280" w:line="240" w:lineRule="auto"/>
        <w:ind w:left="-425" w:right="-692"/>
        <w:jc w:val="both"/>
        <w:rPr>
          <w:rFonts w:ascii="Arial" w:eastAsia="Arial" w:hAnsi="Arial" w:cs="Arial"/>
          <w:b/>
          <w:bCs/>
          <w:sz w:val="24"/>
          <w:szCs w:val="24"/>
        </w:rPr>
      </w:pPr>
    </w:p>
    <w:p w14:paraId="6C743E0F" w14:textId="77777777" w:rsidR="00603B7B" w:rsidRDefault="00E229C9">
      <w:pPr>
        <w:spacing w:before="280" w:after="280" w:line="240" w:lineRule="auto"/>
        <w:ind w:left="-425" w:right="-692"/>
        <w:jc w:val="both"/>
        <w:rPr>
          <w:rFonts w:ascii="Arial" w:eastAsia="Arial" w:hAnsi="Arial" w:cs="Arial"/>
          <w:b/>
          <w:bCs/>
          <w:sz w:val="24"/>
          <w:szCs w:val="24"/>
        </w:rPr>
      </w:pPr>
      <w:r>
        <w:rPr>
          <w:rFonts w:ascii="Arial" w:eastAsia="Arial" w:hAnsi="Arial" w:cs="Arial"/>
          <w:b/>
          <w:bCs/>
          <w:sz w:val="24"/>
          <w:szCs w:val="24"/>
        </w:rPr>
        <w:t>CONSIDERANDO:</w:t>
      </w:r>
    </w:p>
    <w:p w14:paraId="427DA8CE" w14:textId="77777777" w:rsidR="00603B7B" w:rsidRDefault="00E229C9">
      <w:pPr>
        <w:tabs>
          <w:tab w:val="left" w:pos="1134"/>
        </w:tabs>
        <w:spacing w:before="240" w:after="0" w:line="240" w:lineRule="auto"/>
        <w:ind w:left="-425" w:right="-646" w:firstLine="1005"/>
        <w:jc w:val="both"/>
        <w:rPr>
          <w:rFonts w:ascii="Arial" w:eastAsia="Arial" w:hAnsi="Arial" w:cs="Arial"/>
          <w:sz w:val="24"/>
          <w:szCs w:val="24"/>
        </w:rPr>
      </w:pPr>
      <w:r>
        <w:rPr>
          <w:rFonts w:ascii="Arial" w:eastAsia="Arial" w:hAnsi="Arial" w:cs="Arial"/>
          <w:sz w:val="24"/>
          <w:szCs w:val="24"/>
        </w:rPr>
        <w:t>Que, la educación es un derecho básico impostergable; siendo responsabilidad indelegable del Estado garantizar su acceso en condiciones dignas y equitativas;</w:t>
      </w:r>
    </w:p>
    <w:p w14:paraId="69C1BB47"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t>Que, resulta esencial que los niños, niñas y adolescentes desarrollen su trayectoria educativa en espacios seguros, adecuados y en óptimas condiciones edilicias, que favorezcan su aprendizaje, bienestar y desarrollo integral;</w:t>
      </w:r>
    </w:p>
    <w:p w14:paraId="483A87D5" w14:textId="77777777" w:rsidR="00603B7B" w:rsidRDefault="00E229C9">
      <w:pPr>
        <w:tabs>
          <w:tab w:val="left" w:pos="1134"/>
        </w:tabs>
        <w:spacing w:before="240" w:after="0" w:line="235" w:lineRule="auto"/>
        <w:ind w:left="-425" w:right="-646" w:firstLine="1005"/>
        <w:jc w:val="both"/>
        <w:rPr>
          <w:rFonts w:ascii="Arial" w:eastAsia="Arial" w:hAnsi="Arial" w:cs="Arial"/>
          <w:sz w:val="24"/>
          <w:szCs w:val="24"/>
        </w:rPr>
      </w:pPr>
      <w:r>
        <w:rPr>
          <w:rFonts w:ascii="Arial" w:eastAsia="Arial" w:hAnsi="Arial" w:cs="Arial"/>
          <w:sz w:val="24"/>
          <w:szCs w:val="24"/>
        </w:rPr>
        <w:t>Que, también es necesario evitar de cualquier forma la suspensión de clases debido a la falta de mantenimiento en los edificios escolares;</w:t>
      </w:r>
    </w:p>
    <w:p w14:paraId="0879C595"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t>Que, el mecanismo para solicitar las reparaciones y mantenimiento de las escuelas se hace a través de la plataforma SUME, en la cual cada directivo plantea la necesidad urgente de reparación;</w:t>
      </w:r>
    </w:p>
    <w:p w14:paraId="429D9861"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t>Que, dicho sistema contempla la intervención directa de las autoridades escolares, quienes certifican las tareas realizadas, garantizando transparencia y control en la ejecución de los trabajos;</w:t>
      </w:r>
    </w:p>
    <w:p w14:paraId="32EBA45F" w14:textId="77777777" w:rsidR="00603B7B" w:rsidRDefault="00E229C9">
      <w:pPr>
        <w:tabs>
          <w:tab w:val="left" w:pos="1134"/>
        </w:tabs>
        <w:spacing w:before="240" w:after="0" w:line="235" w:lineRule="auto"/>
        <w:ind w:left="-425" w:right="-646" w:firstLine="1005"/>
        <w:jc w:val="both"/>
        <w:rPr>
          <w:rFonts w:ascii="Arial" w:eastAsia="Arial" w:hAnsi="Arial" w:cs="Arial"/>
          <w:sz w:val="24"/>
          <w:szCs w:val="24"/>
        </w:rPr>
      </w:pPr>
      <w:r>
        <w:rPr>
          <w:rFonts w:ascii="Arial" w:eastAsia="Arial" w:hAnsi="Arial" w:cs="Arial"/>
          <w:sz w:val="24"/>
          <w:szCs w:val="24"/>
        </w:rPr>
        <w:t>Que, luego el municipio, a través de Mantenimiento Escolar, constata las tareas certificadas por los directivos;</w:t>
      </w:r>
    </w:p>
    <w:p w14:paraId="150D8FE7" w14:textId="77777777" w:rsidR="00603B7B" w:rsidRDefault="00E229C9">
      <w:pPr>
        <w:tabs>
          <w:tab w:val="left" w:pos="1134"/>
        </w:tabs>
        <w:spacing w:before="240" w:after="0" w:line="235" w:lineRule="auto"/>
        <w:ind w:left="-425" w:right="-646" w:firstLine="1005"/>
        <w:jc w:val="both"/>
        <w:rPr>
          <w:rFonts w:ascii="Arial" w:eastAsia="Arial" w:hAnsi="Arial" w:cs="Arial"/>
          <w:sz w:val="24"/>
          <w:szCs w:val="24"/>
        </w:rPr>
      </w:pPr>
      <w:r>
        <w:rPr>
          <w:rFonts w:ascii="Arial" w:eastAsia="Arial" w:hAnsi="Arial" w:cs="Arial"/>
          <w:sz w:val="24"/>
          <w:szCs w:val="24"/>
        </w:rPr>
        <w:t>Que, en el 2025 se ha trabajado con un nomenclador de tareas, de las cuales surgen acciones con montos establecidos;</w:t>
      </w:r>
    </w:p>
    <w:p w14:paraId="44565E05"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t>Que, conforme lo conversado con la Secretaría de Servicios Públicos, resulta necesario garantizar la continuidad de las tareas de mantenimiento mediante la prórroga de las contrataciones vigentes mientras dure el proceso licitatorio, a fin de no interrumpir el servicio y sostener los estándares alcanzados, mientras se tramita el llamado a licitación correspondiente;</w:t>
      </w:r>
    </w:p>
    <w:p w14:paraId="4061BC22"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lastRenderedPageBreak/>
        <w:t>Que, los trabajadores y trabajadoras que llevan adelante dichas tareas cumplen un rol fundamental en el sostenimiento de las condiciones edilicias de las instituciones educativas, siendo su labor indispensable para el normal desarrollo del ciclo lectivo;</w:t>
      </w:r>
    </w:p>
    <w:p w14:paraId="007B47C9"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t>Que, en virtud de lo expuesto, resulta oportuno y necesario autorizar la prórroga de las contrataciones durante el periodo de tiempo que dure el proceso licitatorio, a fin de asegurar la continuidad, eficiencia y calidad del servicio de mantenimiento escolar;</w:t>
      </w:r>
    </w:p>
    <w:p w14:paraId="147D9EEC" w14:textId="77777777" w:rsidR="00603B7B" w:rsidRDefault="00E229C9">
      <w:pPr>
        <w:tabs>
          <w:tab w:val="left" w:pos="1134"/>
        </w:tabs>
        <w:spacing w:before="240" w:after="0"/>
        <w:ind w:left="-425" w:right="-646" w:firstLine="1005"/>
        <w:jc w:val="both"/>
        <w:rPr>
          <w:rFonts w:ascii="Arial" w:eastAsia="Arial" w:hAnsi="Arial" w:cs="Arial"/>
          <w:sz w:val="24"/>
          <w:szCs w:val="24"/>
        </w:rPr>
      </w:pPr>
      <w:r>
        <w:rPr>
          <w:rFonts w:ascii="Arial" w:eastAsia="Arial" w:hAnsi="Arial" w:cs="Arial"/>
          <w:sz w:val="24"/>
          <w:szCs w:val="24"/>
        </w:rPr>
        <w:t>Que se debatió acerca de las contrataciones directas en el este tema, siendo que los montos acumulados de los contratos ascienden a sumas muy altas al final de cada período contable, por lo que se llevaron adelante varias mesas con el objetivo de debatir la forma de administrar este servicio, definiéndose el llamado a licitación, siendo esta la última prórroga que cursará mientras tanto ello suceda;</w:t>
      </w:r>
    </w:p>
    <w:p w14:paraId="3246805B" w14:textId="77777777" w:rsidR="00603B7B" w:rsidRDefault="00603B7B">
      <w:pPr>
        <w:tabs>
          <w:tab w:val="left" w:pos="1134"/>
        </w:tabs>
        <w:ind w:left="-425" w:right="-692"/>
        <w:jc w:val="center"/>
        <w:rPr>
          <w:rFonts w:ascii="Arial" w:eastAsia="Arial" w:hAnsi="Arial" w:cs="Arial"/>
          <w:sz w:val="24"/>
          <w:szCs w:val="24"/>
        </w:rPr>
      </w:pPr>
    </w:p>
    <w:p w14:paraId="55B6E003" w14:textId="77777777" w:rsidR="00603B7B" w:rsidRDefault="00E229C9">
      <w:pPr>
        <w:tabs>
          <w:tab w:val="left" w:pos="1134"/>
        </w:tabs>
        <w:ind w:left="-425" w:right="-692"/>
        <w:jc w:val="center"/>
        <w:rPr>
          <w:rFonts w:ascii="Arial" w:eastAsia="Arial" w:hAnsi="Arial" w:cs="Arial"/>
          <w:color w:val="000000"/>
          <w:sz w:val="24"/>
          <w:szCs w:val="24"/>
        </w:rPr>
      </w:pPr>
      <w:r>
        <w:rPr>
          <w:rFonts w:ascii="Arial" w:eastAsia="Arial" w:hAnsi="Arial" w:cs="Arial"/>
          <w:color w:val="000000"/>
          <w:sz w:val="24"/>
          <w:szCs w:val="24"/>
        </w:rPr>
        <w:t>Por ello y conforme a lo dispuesto en el Art. 107 de la carta Orgánica Municipal</w:t>
      </w:r>
    </w:p>
    <w:p w14:paraId="63BCB714" w14:textId="77777777" w:rsidR="00603B7B" w:rsidRDefault="00E229C9">
      <w:pPr>
        <w:pStyle w:val="Ttulo2"/>
        <w:ind w:left="-425" w:right="-692"/>
        <w:rPr>
          <w:rFonts w:ascii="Arial" w:eastAsia="Arial" w:hAnsi="Arial" w:cs="Arial"/>
          <w:color w:val="000000"/>
        </w:rPr>
      </w:pPr>
      <w:r>
        <w:rPr>
          <w:rFonts w:ascii="Arial" w:eastAsia="Arial" w:hAnsi="Arial" w:cs="Arial"/>
          <w:color w:val="000000"/>
        </w:rPr>
        <w:t>El Concejo Deliberante de la Municipalidad de Villa La Angostura</w:t>
      </w:r>
    </w:p>
    <w:p w14:paraId="59C876A5" w14:textId="77777777" w:rsidR="00603B7B" w:rsidRDefault="00E229C9">
      <w:pPr>
        <w:pStyle w:val="Ttulo2"/>
        <w:ind w:left="-425" w:right="-692"/>
        <w:rPr>
          <w:rFonts w:ascii="Arial" w:eastAsia="Arial" w:hAnsi="Arial" w:cs="Arial"/>
          <w:color w:val="000000"/>
        </w:rPr>
      </w:pPr>
      <w:r>
        <w:rPr>
          <w:rFonts w:ascii="Arial" w:eastAsia="Arial" w:hAnsi="Arial" w:cs="Arial"/>
          <w:color w:val="000000"/>
        </w:rPr>
        <w:t>SANCIONA CON FUERZA DE</w:t>
      </w:r>
    </w:p>
    <w:p w14:paraId="7A7C85DC" w14:textId="77777777" w:rsidR="00603B7B" w:rsidRDefault="00E229C9">
      <w:pPr>
        <w:pStyle w:val="Ttulo2"/>
        <w:ind w:left="-425" w:right="-692"/>
        <w:rPr>
          <w:rFonts w:ascii="Arial" w:eastAsia="Arial" w:hAnsi="Arial" w:cs="Arial"/>
        </w:rPr>
      </w:pPr>
      <w:r>
        <w:rPr>
          <w:rFonts w:ascii="Arial" w:eastAsia="Arial" w:hAnsi="Arial" w:cs="Arial"/>
          <w:color w:val="000000"/>
        </w:rPr>
        <w:t>ORDENANZA</w:t>
      </w:r>
    </w:p>
    <w:p w14:paraId="162834AC" w14:textId="4C0A5B66" w:rsidR="00603B7B" w:rsidRDefault="00E229C9">
      <w:pPr>
        <w:spacing w:before="240" w:after="0" w:line="240" w:lineRule="auto"/>
        <w:ind w:left="-425" w:right="-646"/>
        <w:jc w:val="both"/>
        <w:rPr>
          <w:rFonts w:ascii="Arial" w:eastAsia="Arial" w:hAnsi="Arial" w:cs="Arial"/>
          <w:sz w:val="24"/>
          <w:szCs w:val="24"/>
        </w:rPr>
      </w:pPr>
      <w:r>
        <w:rPr>
          <w:rFonts w:ascii="Arial" w:eastAsia="Arial" w:hAnsi="Arial" w:cs="Arial"/>
          <w:b/>
          <w:bCs/>
          <w:sz w:val="24"/>
          <w:szCs w:val="24"/>
        </w:rPr>
        <w:t xml:space="preserve">ARTÍCULO 1°: AUTORÍZASE </w:t>
      </w:r>
      <w:r>
        <w:rPr>
          <w:rFonts w:ascii="Arial" w:eastAsia="Arial" w:hAnsi="Arial" w:cs="Arial"/>
          <w:sz w:val="24"/>
          <w:szCs w:val="24"/>
        </w:rPr>
        <w:t>por vía de la excepción el plazo del Artículo 9° de la Ordenanza N°4274/25 a la prórroga desde la publicación en el boletín oficial del decreto de llamado a licitación y mientras dure este proceso licitatorio, en lo que refiere a las contrataciones para tareas de mantenimiento escolar en el marco del sistema unificado de mantenimiento escolar SUME.</w:t>
      </w:r>
      <w:r w:rsidR="000926C7">
        <w:rPr>
          <w:rFonts w:ascii="Arial" w:eastAsia="Arial" w:hAnsi="Arial" w:cs="Arial"/>
          <w:sz w:val="24"/>
          <w:szCs w:val="24"/>
        </w:rPr>
        <w:t>-</w:t>
      </w:r>
    </w:p>
    <w:p w14:paraId="1F7965C1" w14:textId="77777777" w:rsidR="00603B7B" w:rsidRDefault="00E229C9">
      <w:pPr>
        <w:spacing w:after="0" w:line="240" w:lineRule="auto"/>
        <w:ind w:left="-425" w:right="-646"/>
        <w:rPr>
          <w:rFonts w:ascii="Arial" w:eastAsia="Arial" w:hAnsi="Arial" w:cs="Arial"/>
          <w:sz w:val="24"/>
          <w:szCs w:val="24"/>
        </w:rPr>
      </w:pPr>
      <w:r>
        <w:rPr>
          <w:rFonts w:ascii="Arial" w:eastAsia="Arial" w:hAnsi="Arial" w:cs="Arial"/>
          <w:sz w:val="24"/>
          <w:szCs w:val="24"/>
        </w:rPr>
        <w:t xml:space="preserve"> </w:t>
      </w:r>
    </w:p>
    <w:p w14:paraId="0F416A98" w14:textId="2D601F30" w:rsidR="00603B7B" w:rsidRDefault="00E229C9">
      <w:pPr>
        <w:spacing w:after="0" w:line="240" w:lineRule="auto"/>
        <w:ind w:left="-425" w:right="-646"/>
        <w:jc w:val="both"/>
        <w:rPr>
          <w:rFonts w:ascii="Arial" w:eastAsia="Arial" w:hAnsi="Arial" w:cs="Arial"/>
          <w:sz w:val="24"/>
          <w:szCs w:val="24"/>
        </w:rPr>
      </w:pPr>
      <w:r>
        <w:rPr>
          <w:rFonts w:ascii="Arial" w:eastAsia="Arial" w:hAnsi="Arial" w:cs="Arial"/>
          <w:b/>
          <w:bCs/>
          <w:sz w:val="24"/>
          <w:szCs w:val="24"/>
        </w:rPr>
        <w:t xml:space="preserve">ARTÍCULO 2°: AUTORÍZASE </w:t>
      </w:r>
      <w:r>
        <w:rPr>
          <w:rFonts w:ascii="Arial" w:eastAsia="Arial" w:hAnsi="Arial" w:cs="Arial"/>
          <w:sz w:val="24"/>
          <w:szCs w:val="24"/>
        </w:rPr>
        <w:t xml:space="preserve">la prórroga </w:t>
      </w:r>
      <w:r w:rsidR="004C0054">
        <w:rPr>
          <w:rFonts w:ascii="Arial" w:eastAsia="Arial" w:hAnsi="Arial" w:cs="Arial"/>
          <w:sz w:val="24"/>
          <w:szCs w:val="24"/>
        </w:rPr>
        <w:t xml:space="preserve">referida en el Artículo 1° </w:t>
      </w:r>
      <w:r>
        <w:rPr>
          <w:rFonts w:ascii="Arial" w:eastAsia="Arial" w:hAnsi="Arial" w:cs="Arial"/>
          <w:sz w:val="24"/>
          <w:szCs w:val="24"/>
        </w:rPr>
        <w:t>de los contratos de locación de servicios bajo la modalidad de contraprestación certificada por tareas de mantenimiento escolar general, durante dicho plazo, a favor de los siguientes prestadores: Figueroa Rodrigo CUIT: 23-33357968-3, Manrique Nicolás CUIT: 20-23735350-2, Meriño Jonathan CUIT: 20-38494929-1, Molina Marcelo CUIT: 20-20168891-5, Pardo Gastón CUIT: 20-27662023-</w:t>
      </w:r>
    </w:p>
    <w:p w14:paraId="5BA2F5A6" w14:textId="32324F2E" w:rsidR="00603B7B" w:rsidRDefault="00E229C9">
      <w:pPr>
        <w:spacing w:after="0" w:line="240" w:lineRule="auto"/>
        <w:ind w:left="-425" w:right="-646"/>
        <w:jc w:val="both"/>
        <w:rPr>
          <w:rFonts w:ascii="Arial" w:eastAsia="Arial" w:hAnsi="Arial" w:cs="Arial"/>
          <w:sz w:val="24"/>
          <w:szCs w:val="24"/>
        </w:rPr>
      </w:pPr>
      <w:r>
        <w:rPr>
          <w:rFonts w:ascii="Arial" w:eastAsia="Arial" w:hAnsi="Arial" w:cs="Arial"/>
          <w:sz w:val="24"/>
          <w:szCs w:val="24"/>
        </w:rPr>
        <w:t>2, Riquelme Gabriel CUIT: 20-29463985-4, Saavedra Pino Agustín CUIT: 20-36151384-4, Torres Martín CUIT: 20-18396824-7</w:t>
      </w:r>
      <w:r w:rsidR="00323D5F">
        <w:rPr>
          <w:rFonts w:ascii="Arial" w:eastAsia="Arial" w:hAnsi="Arial" w:cs="Arial"/>
          <w:sz w:val="24"/>
          <w:szCs w:val="24"/>
        </w:rPr>
        <w:t>.-</w:t>
      </w:r>
    </w:p>
    <w:p w14:paraId="15B6D67F" w14:textId="77777777" w:rsidR="00603B7B" w:rsidRDefault="00E229C9">
      <w:pPr>
        <w:spacing w:before="280" w:after="0" w:line="240" w:lineRule="auto"/>
        <w:ind w:left="-425" w:right="-646"/>
        <w:jc w:val="both"/>
        <w:rPr>
          <w:rFonts w:ascii="Arial" w:eastAsia="Arial" w:hAnsi="Arial" w:cs="Arial"/>
          <w:sz w:val="24"/>
          <w:szCs w:val="24"/>
        </w:rPr>
      </w:pPr>
      <w:r>
        <w:rPr>
          <w:rFonts w:ascii="Arial" w:eastAsia="Arial" w:hAnsi="Arial" w:cs="Arial"/>
          <w:b/>
          <w:bCs/>
          <w:sz w:val="24"/>
          <w:szCs w:val="24"/>
        </w:rPr>
        <w:t xml:space="preserve">ARTÍCULO 3°: AUTORÍZASE </w:t>
      </w:r>
      <w:r>
        <w:rPr>
          <w:rFonts w:ascii="Arial" w:eastAsia="Arial" w:hAnsi="Arial" w:cs="Arial"/>
          <w:sz w:val="24"/>
          <w:szCs w:val="24"/>
        </w:rPr>
        <w:t>al Departamento Ejecutivo Municipal a llamar a Licitación Pública para la contratación del servicio de</w:t>
      </w:r>
      <w:r>
        <w:rPr>
          <w:rFonts w:ascii="Arial" w:eastAsia="Arial" w:hAnsi="Arial" w:cs="Arial"/>
          <w:b/>
          <w:bCs/>
          <w:sz w:val="24"/>
          <w:szCs w:val="24"/>
        </w:rPr>
        <w:t xml:space="preserve"> MANTENIMIENTO GENERAL DE ESTABLECIMIENTOS EDUCATIVOS DE VILLA LA ANGOSTURA</w:t>
      </w:r>
      <w:r>
        <w:rPr>
          <w:rFonts w:ascii="Arial" w:eastAsia="Arial" w:hAnsi="Arial" w:cs="Arial"/>
          <w:sz w:val="24"/>
          <w:szCs w:val="24"/>
        </w:rPr>
        <w:t xml:space="preserve"> – </w:t>
      </w:r>
      <w:r>
        <w:rPr>
          <w:rFonts w:ascii="Arial" w:eastAsia="Arial" w:hAnsi="Arial" w:cs="Arial"/>
          <w:b/>
          <w:bCs/>
          <w:sz w:val="24"/>
          <w:szCs w:val="24"/>
        </w:rPr>
        <w:t xml:space="preserve">ZONA UNICA, </w:t>
      </w:r>
      <w:r>
        <w:rPr>
          <w:rFonts w:ascii="Arial" w:eastAsia="Arial" w:hAnsi="Arial" w:cs="Arial"/>
          <w:sz w:val="24"/>
          <w:szCs w:val="24"/>
        </w:rPr>
        <w:t>por el presupuesto oficial detallado en el Pliego de Bases y Condiciones Generales, el cual asciende a $310.000.000,00 (Trescientos diez millones con 00/100) IVA incluido, materiales y gastos contemplados en el pliego que figura como Anexo I de la presente ordenanza. –</w:t>
      </w:r>
    </w:p>
    <w:p w14:paraId="224F7CE9" w14:textId="77777777" w:rsidR="00603B7B" w:rsidRDefault="00E229C9">
      <w:pPr>
        <w:spacing w:before="280" w:after="0" w:line="240" w:lineRule="auto"/>
        <w:ind w:left="-425" w:right="-646"/>
        <w:jc w:val="both"/>
        <w:rPr>
          <w:rFonts w:ascii="Arial" w:eastAsia="Arial" w:hAnsi="Arial" w:cs="Arial"/>
          <w:sz w:val="24"/>
          <w:szCs w:val="24"/>
        </w:rPr>
      </w:pPr>
      <w:r>
        <w:rPr>
          <w:rFonts w:ascii="Arial" w:eastAsia="Arial" w:hAnsi="Arial" w:cs="Arial"/>
          <w:b/>
          <w:bCs/>
          <w:sz w:val="24"/>
          <w:szCs w:val="24"/>
        </w:rPr>
        <w:t>ARTÍCULO 4°:</w:t>
      </w:r>
      <w:r>
        <w:rPr>
          <w:rFonts w:ascii="Arial" w:eastAsia="Arial" w:hAnsi="Arial" w:cs="Arial"/>
          <w:sz w:val="24"/>
          <w:szCs w:val="24"/>
        </w:rPr>
        <w:t xml:space="preserve"> </w:t>
      </w:r>
      <w:r>
        <w:rPr>
          <w:rFonts w:ascii="Arial" w:eastAsia="Arial" w:hAnsi="Arial" w:cs="Arial"/>
          <w:b/>
          <w:bCs/>
          <w:sz w:val="24"/>
          <w:szCs w:val="24"/>
        </w:rPr>
        <w:t xml:space="preserve">APRUÉBASE </w:t>
      </w:r>
      <w:r>
        <w:rPr>
          <w:rFonts w:ascii="Arial" w:eastAsia="Arial" w:hAnsi="Arial" w:cs="Arial"/>
          <w:sz w:val="24"/>
          <w:szCs w:val="24"/>
        </w:rPr>
        <w:t>el Pliego de Bases y Condiciones del llamado a Licitación Pública N°15/2026 que figura en el Expediente N°142-ME-2026 autorizado en el Artículo 3° de la presente Ordenanza. –</w:t>
      </w:r>
    </w:p>
    <w:p w14:paraId="5E77C804" w14:textId="77777777" w:rsidR="00603B7B" w:rsidRDefault="00E229C9">
      <w:pPr>
        <w:spacing w:before="280" w:after="0" w:line="240" w:lineRule="auto"/>
        <w:ind w:left="-425" w:right="-646"/>
        <w:jc w:val="both"/>
        <w:rPr>
          <w:rFonts w:ascii="Arial" w:eastAsia="Arial" w:hAnsi="Arial" w:cs="Arial"/>
          <w:sz w:val="24"/>
          <w:szCs w:val="24"/>
        </w:rPr>
      </w:pPr>
      <w:r>
        <w:rPr>
          <w:rFonts w:ascii="Arial" w:eastAsia="Arial" w:hAnsi="Arial" w:cs="Arial"/>
          <w:b/>
          <w:bCs/>
          <w:sz w:val="24"/>
          <w:szCs w:val="24"/>
        </w:rPr>
        <w:t>ARTÍCULO 5°: IMPUTESE</w:t>
      </w:r>
      <w:r>
        <w:rPr>
          <w:rFonts w:ascii="Arial" w:eastAsia="Arial" w:hAnsi="Arial" w:cs="Arial"/>
          <w:sz w:val="24"/>
          <w:szCs w:val="24"/>
        </w:rPr>
        <w:t xml:space="preserve"> el gasto que demande por un total de hasta Pesos TRESCIENTOS DIEZ MILLONES con 00/100 (310.000.000,00) a la Partida: </w:t>
      </w:r>
      <w:r>
        <w:rPr>
          <w:rFonts w:ascii="Arial" w:eastAsia="Arial" w:hAnsi="Arial" w:cs="Arial"/>
          <w:b/>
          <w:bCs/>
          <w:sz w:val="24"/>
          <w:szCs w:val="24"/>
        </w:rPr>
        <w:t>3990 Otros servicios no personales</w:t>
      </w:r>
      <w:r>
        <w:rPr>
          <w:rFonts w:ascii="Arial" w:eastAsia="Arial" w:hAnsi="Arial" w:cs="Arial"/>
          <w:sz w:val="24"/>
          <w:szCs w:val="24"/>
        </w:rPr>
        <w:t xml:space="preserve"> – programa: </w:t>
      </w:r>
      <w:r>
        <w:rPr>
          <w:rFonts w:ascii="Arial" w:eastAsia="Arial" w:hAnsi="Arial" w:cs="Arial"/>
          <w:b/>
          <w:bCs/>
          <w:sz w:val="24"/>
          <w:szCs w:val="24"/>
        </w:rPr>
        <w:t>Mantenimiento escolar</w:t>
      </w:r>
      <w:r>
        <w:rPr>
          <w:rFonts w:ascii="Arial" w:eastAsia="Arial" w:hAnsi="Arial" w:cs="Arial"/>
          <w:sz w:val="24"/>
          <w:szCs w:val="24"/>
        </w:rPr>
        <w:t xml:space="preserve"> - </w:t>
      </w:r>
      <w:r>
        <w:rPr>
          <w:rFonts w:ascii="Arial" w:eastAsia="Arial" w:hAnsi="Arial" w:cs="Arial"/>
          <w:b/>
          <w:bCs/>
          <w:sz w:val="24"/>
          <w:szCs w:val="24"/>
        </w:rPr>
        <w:t>Secretaría de Servicios Públicos.</w:t>
      </w:r>
      <w:r>
        <w:rPr>
          <w:rFonts w:ascii="Arial" w:eastAsia="Arial" w:hAnsi="Arial" w:cs="Arial"/>
          <w:sz w:val="24"/>
          <w:szCs w:val="24"/>
        </w:rPr>
        <w:t xml:space="preserve"> – Fuente financiera: </w:t>
      </w:r>
      <w:r>
        <w:rPr>
          <w:rFonts w:ascii="Arial" w:eastAsia="Arial" w:hAnsi="Arial" w:cs="Arial"/>
          <w:b/>
          <w:bCs/>
          <w:sz w:val="24"/>
          <w:szCs w:val="24"/>
        </w:rPr>
        <w:t>Tesoro municipal</w:t>
      </w:r>
      <w:r>
        <w:rPr>
          <w:rFonts w:ascii="Arial" w:eastAsia="Arial" w:hAnsi="Arial" w:cs="Arial"/>
          <w:sz w:val="24"/>
          <w:szCs w:val="24"/>
        </w:rPr>
        <w:t xml:space="preserve"> -</w:t>
      </w:r>
    </w:p>
    <w:p w14:paraId="34412555" w14:textId="77777777" w:rsidR="00603B7B" w:rsidRDefault="00E229C9">
      <w:pPr>
        <w:spacing w:before="280" w:after="0" w:line="240" w:lineRule="auto"/>
        <w:ind w:left="-425" w:right="-646"/>
        <w:jc w:val="both"/>
        <w:rPr>
          <w:rFonts w:ascii="Arial" w:eastAsia="Arial" w:hAnsi="Arial" w:cs="Arial"/>
          <w:sz w:val="24"/>
          <w:szCs w:val="24"/>
        </w:rPr>
      </w:pPr>
      <w:r>
        <w:rPr>
          <w:rFonts w:ascii="Arial" w:eastAsia="Arial" w:hAnsi="Arial" w:cs="Arial"/>
          <w:b/>
          <w:bCs/>
          <w:sz w:val="24"/>
          <w:szCs w:val="24"/>
        </w:rPr>
        <w:t>ARTÍCULO 6</w:t>
      </w:r>
      <w:r>
        <w:rPr>
          <w:rFonts w:ascii="Arial" w:eastAsia="Arial" w:hAnsi="Arial" w:cs="Arial"/>
          <w:sz w:val="24"/>
          <w:szCs w:val="24"/>
        </w:rPr>
        <w:t xml:space="preserve">°: </w:t>
      </w:r>
      <w:r>
        <w:rPr>
          <w:rFonts w:ascii="Arial" w:eastAsia="Arial" w:hAnsi="Arial" w:cs="Arial"/>
          <w:b/>
          <w:bCs/>
          <w:sz w:val="24"/>
          <w:szCs w:val="24"/>
        </w:rPr>
        <w:t>DISPÓNGASE</w:t>
      </w:r>
      <w:r>
        <w:rPr>
          <w:rFonts w:ascii="Arial" w:eastAsia="Arial" w:hAnsi="Arial" w:cs="Arial"/>
          <w:sz w:val="24"/>
          <w:szCs w:val="24"/>
        </w:rPr>
        <w:t xml:space="preserve"> que en caso de quedar desierta la primera y segunda convocatoria a la licitación, el Departamento Ejecutivo Municipal deberá presentar el proyecto </w:t>
      </w:r>
      <w:r>
        <w:rPr>
          <w:rFonts w:ascii="Arial" w:eastAsia="Arial" w:hAnsi="Arial" w:cs="Arial"/>
          <w:sz w:val="24"/>
          <w:szCs w:val="24"/>
        </w:rPr>
        <w:lastRenderedPageBreak/>
        <w:t>de contratación directa de los servicios objeto de la presente licitación por el monto establecido en el pliego, dicho proyecto deberá ser aprobado por el Concejo Deliberante, conforme lo dispone el art. 192 de la Carta Orgánica Municipal, dentro de los diez (10) días hábiles posteriores al acta emitida por la Comisión Evaluadora desde que el segund</w:t>
      </w:r>
      <w:r>
        <w:rPr>
          <w:rFonts w:ascii="Arial" w:eastAsia="Arial" w:hAnsi="Arial" w:cs="Arial"/>
          <w:sz w:val="24"/>
          <w:szCs w:val="24"/>
        </w:rPr>
        <w:t>o llamado a licitación se hubiere declarado desierto.-</w:t>
      </w:r>
    </w:p>
    <w:p w14:paraId="42420C97" w14:textId="77777777" w:rsidR="00603B7B" w:rsidRDefault="00E229C9">
      <w:pPr>
        <w:spacing w:before="280" w:after="0" w:line="240" w:lineRule="auto"/>
        <w:ind w:left="-425" w:right="-646"/>
        <w:jc w:val="both"/>
        <w:rPr>
          <w:rFonts w:ascii="Arial" w:eastAsia="Arial" w:hAnsi="Arial" w:cs="Arial"/>
          <w:sz w:val="24"/>
          <w:szCs w:val="24"/>
        </w:rPr>
      </w:pPr>
      <w:r>
        <w:rPr>
          <w:rFonts w:ascii="Arial" w:eastAsia="Arial" w:hAnsi="Arial" w:cs="Arial"/>
          <w:b/>
          <w:bCs/>
          <w:sz w:val="24"/>
          <w:szCs w:val="24"/>
        </w:rPr>
        <w:t>ARTÍCULO 7°:</w:t>
      </w:r>
      <w:r>
        <w:rPr>
          <w:rFonts w:ascii="Arial" w:eastAsia="Arial" w:hAnsi="Arial" w:cs="Arial"/>
          <w:sz w:val="24"/>
          <w:szCs w:val="24"/>
        </w:rPr>
        <w:t xml:space="preserve"> </w:t>
      </w:r>
      <w:r>
        <w:rPr>
          <w:rFonts w:ascii="Arial" w:eastAsia="Arial" w:hAnsi="Arial" w:cs="Arial"/>
          <w:b/>
          <w:bCs/>
          <w:sz w:val="24"/>
          <w:szCs w:val="24"/>
        </w:rPr>
        <w:t>CONVÓCASE</w:t>
      </w:r>
      <w:r>
        <w:rPr>
          <w:rFonts w:ascii="Arial" w:eastAsia="Arial" w:hAnsi="Arial" w:cs="Arial"/>
          <w:sz w:val="24"/>
          <w:szCs w:val="24"/>
        </w:rPr>
        <w:t xml:space="preserve"> a la Auditora Municipal, para en todo momento en que sea citada la Comisión Evaluadora, intervenir en las deliberaciones o actuaciones que correspondan. -</w:t>
      </w:r>
    </w:p>
    <w:p w14:paraId="7AE9C71B" w14:textId="60DC0A15" w:rsidR="00603B7B" w:rsidRDefault="00E229C9">
      <w:pPr>
        <w:spacing w:before="280" w:after="0" w:line="240" w:lineRule="auto"/>
        <w:ind w:left="-425" w:right="-646"/>
        <w:jc w:val="both"/>
        <w:rPr>
          <w:rFonts w:ascii="Arial" w:eastAsia="Arial" w:hAnsi="Arial" w:cs="Arial"/>
          <w:sz w:val="24"/>
          <w:szCs w:val="24"/>
        </w:rPr>
      </w:pPr>
      <w:r>
        <w:rPr>
          <w:rFonts w:ascii="Arial" w:eastAsia="Arial" w:hAnsi="Arial" w:cs="Arial"/>
          <w:b/>
          <w:bCs/>
          <w:sz w:val="24"/>
          <w:szCs w:val="24"/>
        </w:rPr>
        <w:t xml:space="preserve">ARTÍCULO 8°: COMUNÍQUESE </w:t>
      </w:r>
      <w:r>
        <w:rPr>
          <w:rFonts w:ascii="Arial" w:eastAsia="Arial" w:hAnsi="Arial" w:cs="Arial"/>
          <w:sz w:val="24"/>
          <w:szCs w:val="24"/>
        </w:rPr>
        <w:t>a la Secretaría de Servicios Publico o a la que en su futuro la reemplace.-</w:t>
      </w:r>
    </w:p>
    <w:p w14:paraId="7588573C" w14:textId="3A296387" w:rsidR="00603B7B" w:rsidRDefault="00E229C9">
      <w:pPr>
        <w:spacing w:before="280" w:after="0" w:line="235" w:lineRule="auto"/>
        <w:ind w:left="-425" w:right="-646"/>
        <w:jc w:val="both"/>
        <w:rPr>
          <w:rFonts w:ascii="Arial" w:eastAsia="Arial" w:hAnsi="Arial" w:cs="Arial"/>
          <w:sz w:val="24"/>
          <w:szCs w:val="24"/>
        </w:rPr>
      </w:pPr>
      <w:r>
        <w:rPr>
          <w:rFonts w:ascii="Arial" w:eastAsia="Arial" w:hAnsi="Arial" w:cs="Arial"/>
          <w:b/>
          <w:bCs/>
          <w:sz w:val="24"/>
          <w:szCs w:val="24"/>
        </w:rPr>
        <w:t xml:space="preserve">ARTÍCULO 9°: PASE </w:t>
      </w:r>
      <w:r>
        <w:rPr>
          <w:rFonts w:ascii="Arial" w:eastAsia="Arial" w:hAnsi="Arial" w:cs="Arial"/>
          <w:sz w:val="24"/>
          <w:szCs w:val="24"/>
        </w:rPr>
        <w:t>al Ejecutivo Municipal para su promulgación. Regístrese. Cumplido. Publíquese. Archívese.-</w:t>
      </w:r>
    </w:p>
    <w:p w14:paraId="0A877F87" w14:textId="77777777" w:rsidR="00603B7B" w:rsidRDefault="00E229C9">
      <w:pPr>
        <w:spacing w:after="0" w:line="240" w:lineRule="auto"/>
        <w:ind w:left="-425" w:right="-646"/>
        <w:jc w:val="center"/>
        <w:rPr>
          <w:rFonts w:ascii="Arial" w:eastAsia="Arial" w:hAnsi="Arial" w:cs="Arial"/>
          <w:sz w:val="24"/>
          <w:szCs w:val="24"/>
        </w:rPr>
      </w:pPr>
      <w:r>
        <w:rPr>
          <w:rFonts w:ascii="Arial" w:eastAsia="Arial" w:hAnsi="Arial" w:cs="Arial"/>
          <w:sz w:val="24"/>
          <w:szCs w:val="24"/>
        </w:rPr>
        <w:t xml:space="preserve"> </w:t>
      </w:r>
    </w:p>
    <w:p w14:paraId="0B3412B9" w14:textId="07FA454A" w:rsidR="00603B7B" w:rsidRDefault="00E229C9">
      <w:pPr>
        <w:spacing w:after="0" w:line="240" w:lineRule="auto"/>
        <w:ind w:left="-425" w:right="-646"/>
        <w:jc w:val="center"/>
        <w:rPr>
          <w:rFonts w:ascii="Arial" w:eastAsia="Arial" w:hAnsi="Arial" w:cs="Arial"/>
          <w:sz w:val="24"/>
          <w:szCs w:val="24"/>
        </w:rPr>
      </w:pPr>
      <w:r>
        <w:rPr>
          <w:rFonts w:ascii="Arial" w:eastAsia="Arial" w:hAnsi="Arial" w:cs="Arial"/>
          <w:sz w:val="24"/>
          <w:szCs w:val="24"/>
        </w:rPr>
        <w:t xml:space="preserve">Dada en la Sala de Sesiones Don Humberto Rolando del Concejo Deliberante, a los </w:t>
      </w:r>
      <w:r w:rsidR="00B53732">
        <w:rPr>
          <w:rFonts w:ascii="Arial" w:eastAsia="Arial" w:hAnsi="Arial" w:cs="Arial"/>
          <w:sz w:val="24"/>
          <w:szCs w:val="24"/>
        </w:rPr>
        <w:t>treinta</w:t>
      </w:r>
      <w:r>
        <w:rPr>
          <w:rFonts w:ascii="Arial" w:eastAsia="Arial" w:hAnsi="Arial" w:cs="Arial"/>
          <w:sz w:val="24"/>
          <w:szCs w:val="24"/>
        </w:rPr>
        <w:t xml:space="preserve"> días del mes de</w:t>
      </w:r>
      <w:r w:rsidR="00B53732">
        <w:rPr>
          <w:rFonts w:ascii="Arial" w:eastAsia="Arial" w:hAnsi="Arial" w:cs="Arial"/>
          <w:sz w:val="24"/>
          <w:szCs w:val="24"/>
        </w:rPr>
        <w:t xml:space="preserve"> junio</w:t>
      </w:r>
      <w:r>
        <w:rPr>
          <w:rFonts w:ascii="Arial" w:eastAsia="Arial" w:hAnsi="Arial" w:cs="Arial"/>
          <w:sz w:val="24"/>
          <w:szCs w:val="24"/>
        </w:rPr>
        <w:t xml:space="preserve"> del año 2026, en Sesión Especial N°</w:t>
      </w:r>
      <w:r w:rsidR="00B53732">
        <w:rPr>
          <w:rFonts w:ascii="Arial" w:eastAsia="Arial" w:hAnsi="Arial" w:cs="Arial"/>
          <w:sz w:val="24"/>
          <w:szCs w:val="24"/>
        </w:rPr>
        <w:t xml:space="preserve"> VIII</w:t>
      </w:r>
      <w:r>
        <w:rPr>
          <w:rFonts w:ascii="Arial" w:eastAsia="Arial" w:hAnsi="Arial" w:cs="Arial"/>
          <w:sz w:val="24"/>
          <w:szCs w:val="24"/>
        </w:rPr>
        <w:t>, Acta N°</w:t>
      </w:r>
      <w:r w:rsidR="00B53732">
        <w:rPr>
          <w:rFonts w:ascii="Arial" w:eastAsia="Arial" w:hAnsi="Arial" w:cs="Arial"/>
          <w:sz w:val="24"/>
          <w:szCs w:val="24"/>
        </w:rPr>
        <w:t xml:space="preserve"> 1992</w:t>
      </w:r>
      <w:r>
        <w:rPr>
          <w:rFonts w:ascii="Arial" w:eastAsia="Arial" w:hAnsi="Arial" w:cs="Arial"/>
          <w:sz w:val="24"/>
          <w:szCs w:val="24"/>
        </w:rPr>
        <w:t>.-</w:t>
      </w:r>
    </w:p>
    <w:p w14:paraId="04F57A3E" w14:textId="77777777" w:rsidR="00E13B25" w:rsidRPr="00AC3713" w:rsidRDefault="00E13B25" w:rsidP="00E13B25">
      <w:pPr>
        <w:tabs>
          <w:tab w:val="left" w:pos="2835"/>
        </w:tabs>
        <w:spacing w:after="0" w:line="240" w:lineRule="auto"/>
        <w:ind w:left="-425" w:right="-692"/>
        <w:rPr>
          <w:rFonts w:ascii="Arial" w:eastAsia="Arial" w:hAnsi="Arial" w:cs="Arial"/>
          <w:sz w:val="24"/>
          <w:szCs w:val="24"/>
        </w:rPr>
      </w:pPr>
      <w:r w:rsidRPr="00AC3713">
        <w:rPr>
          <w:rFonts w:ascii="Arial" w:eastAsia="Arial" w:hAnsi="Arial" w:cs="Arial"/>
          <w:sz w:val="24"/>
          <w:szCs w:val="24"/>
        </w:rPr>
        <w:t>Autoría:</w:t>
      </w:r>
    </w:p>
    <w:p w14:paraId="585F625B" w14:textId="77777777" w:rsidR="00E13B25" w:rsidRPr="00AC3713" w:rsidRDefault="00E13B25" w:rsidP="00E13B25">
      <w:pPr>
        <w:tabs>
          <w:tab w:val="left" w:pos="2835"/>
        </w:tabs>
        <w:spacing w:after="0" w:line="240" w:lineRule="auto"/>
        <w:ind w:left="-425" w:right="-692"/>
        <w:rPr>
          <w:rFonts w:ascii="Arial" w:eastAsia="Arial" w:hAnsi="Arial" w:cs="Arial"/>
          <w:sz w:val="24"/>
          <w:szCs w:val="24"/>
        </w:rPr>
      </w:pPr>
      <w:r w:rsidRPr="00AC3713">
        <w:rPr>
          <w:rFonts w:ascii="Arial" w:eastAsia="Arial" w:hAnsi="Arial" w:cs="Arial"/>
          <w:sz w:val="24"/>
          <w:szCs w:val="24"/>
        </w:rPr>
        <w:t xml:space="preserve">Concejal Sebastián Raimondo (Bloque Comunidad) </w:t>
      </w:r>
    </w:p>
    <w:p w14:paraId="5E4D21FC" w14:textId="77777777" w:rsidR="00E13B25" w:rsidRPr="00AC3713" w:rsidRDefault="00E13B25" w:rsidP="00E13B25">
      <w:pPr>
        <w:tabs>
          <w:tab w:val="left" w:pos="2835"/>
        </w:tabs>
        <w:spacing w:after="0" w:line="240" w:lineRule="auto"/>
        <w:ind w:left="-425" w:right="-692"/>
        <w:rPr>
          <w:rFonts w:ascii="Arial" w:eastAsia="Arial" w:hAnsi="Arial" w:cs="Arial"/>
          <w:sz w:val="24"/>
          <w:szCs w:val="24"/>
        </w:rPr>
      </w:pPr>
      <w:r w:rsidRPr="00AC3713">
        <w:rPr>
          <w:rFonts w:ascii="Arial" w:eastAsia="Arial" w:hAnsi="Arial" w:cs="Arial"/>
          <w:sz w:val="24"/>
          <w:szCs w:val="24"/>
        </w:rPr>
        <w:t>Concejal Noelia Elisabet Figueroa (Bloque Comunidad)</w:t>
      </w:r>
    </w:p>
    <w:p w14:paraId="501DB416" w14:textId="77777777" w:rsidR="00E13B25" w:rsidRDefault="00E13B25" w:rsidP="00E13B25">
      <w:pPr>
        <w:tabs>
          <w:tab w:val="left" w:pos="2835"/>
        </w:tabs>
        <w:spacing w:after="0" w:line="240" w:lineRule="auto"/>
        <w:ind w:left="-425" w:right="-692"/>
        <w:jc w:val="center"/>
        <w:rPr>
          <w:rFonts w:ascii="Arial" w:eastAsia="Arial" w:hAnsi="Arial" w:cs="Arial"/>
          <w:sz w:val="24"/>
          <w:szCs w:val="24"/>
        </w:rPr>
      </w:pPr>
    </w:p>
    <w:p w14:paraId="1E928D48" w14:textId="77777777" w:rsidR="00E13B25" w:rsidRDefault="00E13B25" w:rsidP="00E13B25">
      <w:pPr>
        <w:tabs>
          <w:tab w:val="left" w:pos="2835"/>
        </w:tabs>
        <w:spacing w:after="0" w:line="240" w:lineRule="auto"/>
        <w:ind w:left="-425" w:right="-692"/>
        <w:jc w:val="center"/>
        <w:rPr>
          <w:rFonts w:ascii="Arial" w:eastAsia="Arial" w:hAnsi="Arial" w:cs="Arial"/>
          <w:sz w:val="24"/>
          <w:szCs w:val="24"/>
        </w:rPr>
      </w:pPr>
    </w:p>
    <w:p w14:paraId="7742BC19" w14:textId="77777777" w:rsidR="00E13B25" w:rsidRPr="00AC3713" w:rsidRDefault="00E13B25" w:rsidP="00E13B25">
      <w:pPr>
        <w:tabs>
          <w:tab w:val="left" w:pos="2835"/>
        </w:tabs>
        <w:spacing w:after="0" w:line="240" w:lineRule="auto"/>
        <w:ind w:left="-425" w:right="-692"/>
        <w:jc w:val="center"/>
        <w:rPr>
          <w:rFonts w:ascii="Arial" w:eastAsia="Arial" w:hAnsi="Arial" w:cs="Arial"/>
          <w:sz w:val="24"/>
          <w:szCs w:val="24"/>
        </w:rPr>
      </w:pPr>
      <w:r w:rsidRPr="00AC3713">
        <w:rPr>
          <w:rFonts w:ascii="Arial" w:eastAsia="Arial" w:hAnsi="Arial" w:cs="Arial"/>
          <w:sz w:val="24"/>
          <w:szCs w:val="24"/>
        </w:rPr>
        <w:t xml:space="preserve"> .</w:t>
      </w:r>
    </w:p>
    <w:tbl>
      <w:tblPr>
        <w:tblW w:w="8550" w:type="dxa"/>
        <w:tblBorders>
          <w:insideH w:val="nil"/>
          <w:insideV w:val="nil"/>
        </w:tblBorders>
        <w:tblLayout w:type="fixed"/>
        <w:tblLook w:val="0600" w:firstRow="0" w:lastRow="0" w:firstColumn="0" w:lastColumn="0" w:noHBand="1" w:noVBand="1"/>
      </w:tblPr>
      <w:tblGrid>
        <w:gridCol w:w="3045"/>
        <w:gridCol w:w="2790"/>
        <w:gridCol w:w="2715"/>
      </w:tblGrid>
      <w:tr w:rsidR="00E13B25" w:rsidRPr="00AC3713" w14:paraId="7CAA6AC8" w14:textId="77777777" w:rsidTr="00D312F1">
        <w:trPr>
          <w:trHeight w:val="285"/>
        </w:trPr>
        <w:tc>
          <w:tcPr>
            <w:tcW w:w="30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6370D15" w14:textId="77777777" w:rsidR="00E13B25" w:rsidRPr="00AC3713" w:rsidRDefault="00E13B25" w:rsidP="00D312F1">
            <w:pPr>
              <w:tabs>
                <w:tab w:val="left" w:pos="2835"/>
              </w:tabs>
              <w:spacing w:after="0" w:line="240" w:lineRule="auto"/>
              <w:ind w:left="-425" w:right="-692"/>
              <w:jc w:val="center"/>
              <w:rPr>
                <w:rFonts w:ascii="Arial" w:eastAsia="Arial" w:hAnsi="Arial" w:cs="Arial"/>
                <w:b/>
                <w:bCs/>
                <w:sz w:val="24"/>
                <w:szCs w:val="24"/>
                <w:lang w:val="es-ES"/>
              </w:rPr>
            </w:pPr>
            <w:r w:rsidRPr="00AC3713">
              <w:rPr>
                <w:rFonts w:ascii="Arial" w:eastAsia="Arial" w:hAnsi="Arial" w:cs="Arial"/>
                <w:b/>
                <w:bCs/>
                <w:sz w:val="24"/>
                <w:szCs w:val="24"/>
                <w:lang w:val="es-ES"/>
              </w:rPr>
              <w:t>NOMBRE Y APELLIDO</w:t>
            </w:r>
          </w:p>
        </w:tc>
        <w:tc>
          <w:tcPr>
            <w:tcW w:w="2790"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18FDBE2A" w14:textId="77777777" w:rsidR="00E13B25" w:rsidRPr="00AC3713" w:rsidRDefault="00E13B25" w:rsidP="00D312F1">
            <w:pPr>
              <w:tabs>
                <w:tab w:val="left" w:pos="2835"/>
              </w:tabs>
              <w:spacing w:after="0" w:line="240" w:lineRule="auto"/>
              <w:ind w:left="-425" w:right="-692"/>
              <w:jc w:val="center"/>
              <w:rPr>
                <w:rFonts w:ascii="Arial" w:eastAsia="Arial" w:hAnsi="Arial" w:cs="Arial"/>
                <w:b/>
                <w:bCs/>
                <w:sz w:val="24"/>
                <w:szCs w:val="24"/>
                <w:lang w:val="es-ES"/>
              </w:rPr>
            </w:pPr>
            <w:r w:rsidRPr="00AC3713">
              <w:rPr>
                <w:rFonts w:ascii="Arial" w:eastAsia="Arial" w:hAnsi="Arial" w:cs="Arial"/>
                <w:b/>
                <w:bCs/>
                <w:sz w:val="24"/>
                <w:szCs w:val="24"/>
                <w:lang w:val="es-ES"/>
              </w:rPr>
              <w:t>FACCIÓN POLÍTICA</w:t>
            </w:r>
          </w:p>
        </w:tc>
        <w:tc>
          <w:tcPr>
            <w:tcW w:w="2715"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59751B70" w14:textId="77777777" w:rsidR="00E13B25" w:rsidRPr="00AC3713" w:rsidRDefault="00E13B25" w:rsidP="00D312F1">
            <w:pPr>
              <w:tabs>
                <w:tab w:val="left" w:pos="2835"/>
              </w:tabs>
              <w:spacing w:after="0" w:line="240" w:lineRule="auto"/>
              <w:ind w:left="-425" w:right="-692"/>
              <w:jc w:val="center"/>
              <w:rPr>
                <w:rFonts w:ascii="Arial" w:eastAsia="Arial" w:hAnsi="Arial" w:cs="Arial"/>
                <w:b/>
                <w:bCs/>
                <w:sz w:val="24"/>
                <w:szCs w:val="24"/>
                <w:lang w:val="es-ES"/>
              </w:rPr>
            </w:pPr>
            <w:r w:rsidRPr="00AC3713">
              <w:rPr>
                <w:rFonts w:ascii="Arial" w:eastAsia="Arial" w:hAnsi="Arial" w:cs="Arial"/>
                <w:b/>
                <w:bCs/>
                <w:sz w:val="24"/>
                <w:szCs w:val="24"/>
                <w:lang w:val="es-ES"/>
              </w:rPr>
              <w:t>VOTO</w:t>
            </w:r>
          </w:p>
        </w:tc>
      </w:tr>
      <w:tr w:rsidR="00E13B25" w:rsidRPr="00AC3713" w14:paraId="42FC97B4"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0CF655B"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Sebastián Raimondo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1F7020B6"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BA3B8FD" w14:textId="068B9A9D"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+1</w:t>
            </w:r>
          </w:p>
        </w:tc>
      </w:tr>
      <w:tr w:rsidR="00E13B25" w:rsidRPr="00AC3713" w14:paraId="654F2864"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6F54AD67"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María Eugenia Mesa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1E8D4088"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Amor por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BF15B7A" w14:textId="46657F78"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Ausente</w:t>
            </w:r>
            <w:r w:rsidR="00E13B25" w:rsidRPr="00AC3713">
              <w:rPr>
                <w:rFonts w:ascii="Arial" w:eastAsia="Arial" w:hAnsi="Arial" w:cs="Arial"/>
                <w:sz w:val="24"/>
                <w:szCs w:val="24"/>
                <w:lang w:val="es-ES"/>
              </w:rPr>
              <w:t xml:space="preserve"> </w:t>
            </w:r>
          </w:p>
        </w:tc>
      </w:tr>
      <w:tr w:rsidR="00E13B25" w:rsidRPr="00AC3713" w14:paraId="3CE08213"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28CD72B3"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María Eugenia Ceraso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6CB605DB"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Primero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1E0B91AE" w14:textId="7EAD48A1"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+1</w:t>
            </w:r>
          </w:p>
        </w:tc>
      </w:tr>
      <w:tr w:rsidR="00E13B25" w:rsidRPr="00AC3713" w14:paraId="68C0183B"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BEADFC8"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Héctor Venica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4C97BD11"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Juntos por el Cambio</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743D24F7" w14:textId="17B8F31E"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+1</w:t>
            </w:r>
          </w:p>
        </w:tc>
      </w:tr>
      <w:tr w:rsidR="00E13B25" w:rsidRPr="00AC3713" w14:paraId="69F8AF7F"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2C6E7D0E"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Lilia Estrella Vidal</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25C051F6"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Juntos por la Libertad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5E1515F8" w14:textId="78D9AD39"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+1</w:t>
            </w:r>
          </w:p>
        </w:tc>
      </w:tr>
      <w:tr w:rsidR="00E13B25" w:rsidRPr="00AC3713" w14:paraId="52A5BDD9"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4718444"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Tomás Alberto Andrade</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11EBD21D"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Avanzar Neuquén</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1EE858DC" w14:textId="4C0A36E1"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+1</w:t>
            </w:r>
          </w:p>
        </w:tc>
      </w:tr>
      <w:tr w:rsidR="00E13B25" w:rsidRPr="00AC3713" w14:paraId="11D5B84E" w14:textId="77777777" w:rsidTr="00D312F1">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B710413"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Noelia Elisabet Figueroa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79B6295C" w14:textId="77777777" w:rsidR="00E13B25" w:rsidRPr="00AC3713" w:rsidRDefault="00E13B25" w:rsidP="00D312F1">
            <w:pPr>
              <w:tabs>
                <w:tab w:val="left" w:pos="2835"/>
              </w:tabs>
              <w:spacing w:after="0" w:line="240" w:lineRule="auto"/>
              <w:ind w:left="-425" w:right="-692"/>
              <w:jc w:val="center"/>
              <w:rPr>
                <w:rFonts w:ascii="Arial" w:eastAsia="Arial" w:hAnsi="Arial" w:cs="Arial"/>
                <w:sz w:val="24"/>
                <w:szCs w:val="24"/>
                <w:lang w:val="es-ES"/>
              </w:rPr>
            </w:pPr>
            <w:r w:rsidRPr="00AC3713">
              <w:rPr>
                <w:rFonts w:ascii="Arial" w:eastAsia="Arial" w:hAnsi="Arial" w:cs="Arial"/>
                <w:sz w:val="24"/>
                <w:szCs w:val="24"/>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5C5DB42B" w14:textId="50D82494" w:rsidR="00E13B25" w:rsidRPr="00AC3713" w:rsidRDefault="00D57AF0" w:rsidP="00D312F1">
            <w:pPr>
              <w:tabs>
                <w:tab w:val="left" w:pos="2835"/>
              </w:tabs>
              <w:spacing w:after="0" w:line="240" w:lineRule="auto"/>
              <w:ind w:left="-425" w:right="-692"/>
              <w:jc w:val="center"/>
              <w:rPr>
                <w:rFonts w:ascii="Arial" w:eastAsia="Arial" w:hAnsi="Arial" w:cs="Arial"/>
                <w:sz w:val="24"/>
                <w:szCs w:val="24"/>
                <w:lang w:val="es-ES"/>
              </w:rPr>
            </w:pPr>
            <w:r>
              <w:rPr>
                <w:rFonts w:ascii="Arial" w:eastAsia="Arial" w:hAnsi="Arial" w:cs="Arial"/>
                <w:sz w:val="24"/>
                <w:szCs w:val="24"/>
                <w:lang w:val="es-ES"/>
              </w:rPr>
              <w:t>Abstención</w:t>
            </w:r>
          </w:p>
        </w:tc>
      </w:tr>
    </w:tbl>
    <w:p w14:paraId="4F0C4447" w14:textId="77777777" w:rsidR="00E13B25" w:rsidRPr="00AC3713" w:rsidRDefault="00E13B25" w:rsidP="00E13B25">
      <w:pPr>
        <w:tabs>
          <w:tab w:val="left" w:pos="2835"/>
        </w:tabs>
        <w:spacing w:after="0" w:line="240" w:lineRule="auto"/>
        <w:ind w:left="-425" w:right="-692"/>
        <w:jc w:val="center"/>
        <w:rPr>
          <w:rFonts w:ascii="Arial" w:eastAsia="Arial" w:hAnsi="Arial" w:cs="Arial"/>
          <w:sz w:val="24"/>
          <w:szCs w:val="24"/>
        </w:rPr>
      </w:pPr>
    </w:p>
    <w:p w14:paraId="24A43D9F" w14:textId="77777777" w:rsidR="00E13B25" w:rsidRPr="00AC3713" w:rsidRDefault="00E13B25" w:rsidP="00E13B25">
      <w:pPr>
        <w:tabs>
          <w:tab w:val="left" w:pos="2835"/>
        </w:tabs>
        <w:spacing w:after="0" w:line="240" w:lineRule="auto"/>
        <w:ind w:left="-425" w:right="-692"/>
        <w:jc w:val="center"/>
        <w:rPr>
          <w:rFonts w:ascii="Arial" w:eastAsia="Arial" w:hAnsi="Arial" w:cs="Arial"/>
          <w:sz w:val="24"/>
          <w:szCs w:val="24"/>
        </w:rPr>
      </w:pPr>
    </w:p>
    <w:p w14:paraId="4BDCD0D5" w14:textId="77777777" w:rsidR="00E13B25" w:rsidRPr="00AC3713" w:rsidRDefault="00E13B25" w:rsidP="00E13B25">
      <w:pPr>
        <w:tabs>
          <w:tab w:val="left" w:pos="2835"/>
        </w:tabs>
        <w:spacing w:after="0" w:line="240" w:lineRule="auto"/>
        <w:ind w:left="-425" w:right="-692"/>
        <w:rPr>
          <w:rFonts w:ascii="Arial" w:eastAsia="Arial" w:hAnsi="Arial" w:cs="Arial"/>
          <w:sz w:val="24"/>
          <w:szCs w:val="24"/>
        </w:rPr>
      </w:pPr>
      <w:r w:rsidRPr="00AC3713">
        <w:rPr>
          <w:rFonts w:ascii="Arial" w:eastAsia="Arial" w:hAnsi="Arial" w:cs="Arial"/>
          <w:sz w:val="24"/>
          <w:szCs w:val="24"/>
        </w:rPr>
        <w:t xml:space="preserve">Fdo. Raimondo Sebastián (Presidente CD) </w:t>
      </w:r>
      <w:r w:rsidRPr="00AC3713">
        <w:rPr>
          <w:rFonts w:ascii="Arial" w:eastAsia="Arial" w:hAnsi="Arial" w:cs="Arial"/>
          <w:sz w:val="24"/>
          <w:szCs w:val="24"/>
        </w:rPr>
        <w:tab/>
      </w:r>
      <w:r w:rsidRPr="00AC3713">
        <w:rPr>
          <w:rFonts w:ascii="Arial" w:eastAsia="Arial" w:hAnsi="Arial" w:cs="Arial"/>
          <w:sz w:val="24"/>
          <w:szCs w:val="24"/>
        </w:rPr>
        <w:tab/>
        <w:t xml:space="preserve">     </w:t>
      </w:r>
    </w:p>
    <w:p w14:paraId="71444D93" w14:textId="77777777" w:rsidR="00E13B25" w:rsidRPr="00AC3713" w:rsidRDefault="00E13B25" w:rsidP="00E13B25">
      <w:pPr>
        <w:tabs>
          <w:tab w:val="left" w:pos="2835"/>
        </w:tabs>
        <w:spacing w:after="0" w:line="240" w:lineRule="auto"/>
        <w:ind w:left="-425" w:right="-692"/>
        <w:rPr>
          <w:rFonts w:ascii="Arial" w:eastAsia="Arial" w:hAnsi="Arial" w:cs="Arial"/>
          <w:sz w:val="24"/>
          <w:szCs w:val="24"/>
        </w:rPr>
      </w:pPr>
      <w:r w:rsidRPr="00AC3713">
        <w:rPr>
          <w:rFonts w:ascii="Arial" w:eastAsia="Arial" w:hAnsi="Arial" w:cs="Arial"/>
          <w:sz w:val="24"/>
          <w:szCs w:val="24"/>
        </w:rPr>
        <w:t>Jimena de los Ángeles Montero (Secretaria CD)</w:t>
      </w:r>
    </w:p>
    <w:p w14:paraId="6460E434" w14:textId="77777777" w:rsidR="00E13B25" w:rsidRPr="00AC3713" w:rsidRDefault="00E13B25" w:rsidP="00E13B25">
      <w:pPr>
        <w:tabs>
          <w:tab w:val="left" w:pos="2835"/>
        </w:tabs>
        <w:spacing w:after="0" w:line="240" w:lineRule="auto"/>
        <w:ind w:left="-425" w:right="-692"/>
        <w:jc w:val="center"/>
        <w:rPr>
          <w:rFonts w:ascii="Arial" w:eastAsia="Arial" w:hAnsi="Arial" w:cs="Arial"/>
          <w:sz w:val="24"/>
          <w:szCs w:val="24"/>
        </w:rPr>
      </w:pPr>
    </w:p>
    <w:p w14:paraId="22471D8D" w14:textId="77777777" w:rsidR="00603B7B" w:rsidRDefault="00603B7B">
      <w:pPr>
        <w:spacing w:after="0" w:line="240" w:lineRule="auto"/>
        <w:ind w:left="-425" w:right="-692"/>
        <w:rPr>
          <w:rFonts w:ascii="Arial" w:eastAsia="Arial" w:hAnsi="Arial" w:cs="Arial"/>
          <w:b/>
          <w:bCs/>
          <w:sz w:val="24"/>
          <w:szCs w:val="24"/>
        </w:rPr>
      </w:pPr>
    </w:p>
    <w:sectPr w:rsidR="00603B7B">
      <w:headerReference w:type="default" r:id="rId7"/>
      <w:footerReference w:type="default" r:id="rId8"/>
      <w:pgSz w:w="12240" w:h="20160"/>
      <w:pgMar w:top="2681" w:right="1700" w:bottom="1417" w:left="1700" w:header="1985"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D5DD6" w14:textId="77777777" w:rsidR="00E229C9" w:rsidRDefault="00E229C9">
      <w:pPr>
        <w:spacing w:after="0" w:line="240" w:lineRule="auto"/>
      </w:pPr>
      <w:r>
        <w:separator/>
      </w:r>
    </w:p>
  </w:endnote>
  <w:endnote w:type="continuationSeparator" w:id="0">
    <w:p w14:paraId="4ECD497C" w14:textId="77777777" w:rsidR="00E229C9" w:rsidRDefault="00E22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8468DDDF-6C50-415F-AE91-8303FEC929A7}"/>
    <w:embedBold r:id="rId2" w:fontKey="{AF3C342C-6446-4652-B593-BB9A6A970396}"/>
  </w:font>
  <w:font w:name="Tahoma">
    <w:panose1 w:val="020B0604030504040204"/>
    <w:charset w:val="00"/>
    <w:family w:val="swiss"/>
    <w:pitch w:val="variable"/>
    <w:sig w:usb0="E1002EFF" w:usb1="C000605B" w:usb2="00000029" w:usb3="00000000" w:csb0="000101FF" w:csb1="00000000"/>
    <w:embedBold r:id="rId3" w:fontKey="{379C426A-FA24-416D-9CCE-8ADC750AF66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71C77DBE-5BC9-4B42-A846-A945C8341CC6}"/>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embedRegular r:id="rId5" w:fontKey="{1C446BC6-DD9C-4DCA-A2E5-BD52358D6401}"/>
  </w:font>
  <w:font w:name="Cambria">
    <w:panose1 w:val="02040503050406030204"/>
    <w:charset w:val="00"/>
    <w:family w:val="roman"/>
    <w:pitch w:val="variable"/>
    <w:sig w:usb0="E00006FF" w:usb1="420024FF" w:usb2="02000000" w:usb3="00000000" w:csb0="0000019F" w:csb1="00000000"/>
    <w:embedRegular r:id="rId6" w:fontKey="{9AB47211-1B49-49A1-8031-0CBEE6BBF92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79C72" w14:textId="77777777" w:rsidR="00603B7B" w:rsidRDefault="00E229C9">
    <w:pPr>
      <w:pBdr>
        <w:top w:val="none" w:sz="0" w:space="0" w:color="000000"/>
        <w:left w:val="none" w:sz="0" w:space="0" w:color="000000"/>
        <w:bottom w:val="none" w:sz="0" w:space="0" w:color="000000"/>
        <w:right w:val="none" w:sz="0" w:space="0" w:color="000000"/>
        <w:between w:val="none" w:sz="0" w:space="0" w:color="000000"/>
      </w:pBdr>
      <w:spacing w:before="240" w:after="0" w:line="276" w:lineRule="auto"/>
      <w:jc w:val="center"/>
      <w:rPr>
        <w:rFonts w:ascii="Bookman Old Style" w:eastAsia="Bookman Old Style" w:hAnsi="Bookman Old Style" w:cs="Bookman Old Style"/>
        <w:color w:val="222222"/>
        <w:sz w:val="20"/>
        <w:szCs w:val="20"/>
        <w:highlight w:val="white"/>
      </w:rPr>
    </w:pPr>
    <w:r>
      <w:pict w14:anchorId="61642872">
        <v:rect id="_x0000_i1025" style="width:0;height:1.5pt" o:hralign="center" o:hrstd="t" o:hr="t" fillcolor="#a0a0a0" stroked="f"/>
      </w:pict>
    </w:r>
  </w:p>
  <w:p w14:paraId="13999928" w14:textId="77777777" w:rsidR="00603B7B" w:rsidRPr="00866BFD" w:rsidRDefault="00E229C9">
    <w:pPr>
      <w:pBdr>
        <w:top w:val="none" w:sz="0" w:space="0" w:color="000000"/>
        <w:left w:val="none" w:sz="0" w:space="0" w:color="000000"/>
        <w:bottom w:val="none" w:sz="0" w:space="0" w:color="000000"/>
        <w:right w:val="none" w:sz="0" w:space="0" w:color="000000"/>
        <w:between w:val="none" w:sz="0" w:space="0" w:color="000000"/>
      </w:pBdr>
      <w:spacing w:before="240" w:after="0" w:line="276" w:lineRule="auto"/>
      <w:jc w:val="center"/>
      <w:rPr>
        <w:rFonts w:ascii="Arial" w:eastAsia="Arial" w:hAnsi="Arial" w:cs="Arial"/>
        <w:sz w:val="24"/>
        <w:szCs w:val="24"/>
      </w:rPr>
    </w:pPr>
    <w:r w:rsidRPr="00866BFD">
      <w:rPr>
        <w:rFonts w:ascii="Arial" w:eastAsia="Bookman Old Style" w:hAnsi="Arial" w:cs="Arial"/>
        <w:color w:val="222222"/>
        <w:sz w:val="20"/>
        <w:szCs w:val="20"/>
        <w:highlight w:val="white"/>
      </w:rPr>
      <w:t>“A 50 Años de la Dictadura Cívico-Militar: Memoria, Verdad y Justicia”</w:t>
    </w:r>
  </w:p>
  <w:p w14:paraId="069561E9" w14:textId="77777777" w:rsidR="00603B7B" w:rsidRDefault="00603B7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09530" w14:textId="77777777" w:rsidR="00E229C9" w:rsidRDefault="00E229C9">
      <w:pPr>
        <w:spacing w:after="0" w:line="240" w:lineRule="auto"/>
      </w:pPr>
      <w:r>
        <w:separator/>
      </w:r>
    </w:p>
  </w:footnote>
  <w:footnote w:type="continuationSeparator" w:id="0">
    <w:p w14:paraId="5989D0B4" w14:textId="77777777" w:rsidR="00E229C9" w:rsidRDefault="00E229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986DF" w14:textId="2245B21B" w:rsidR="00603B7B" w:rsidRPr="00873DF5" w:rsidRDefault="00E229C9">
    <w:pPr>
      <w:pBdr>
        <w:top w:val="nil"/>
        <w:left w:val="nil"/>
        <w:bottom w:val="single" w:sz="4" w:space="1" w:color="000000"/>
        <w:right w:val="nil"/>
        <w:between w:val="nil"/>
      </w:pBdr>
      <w:tabs>
        <w:tab w:val="center" w:pos="4252"/>
        <w:tab w:val="right" w:pos="8504"/>
        <w:tab w:val="left" w:pos="1005"/>
      </w:tabs>
      <w:spacing w:after="0" w:line="240" w:lineRule="auto"/>
      <w:jc w:val="center"/>
      <w:rPr>
        <w:rFonts w:asciiTheme="majorHAnsi" w:eastAsia="Bookman Old Style" w:hAnsiTheme="majorHAnsi" w:cstheme="majorHAnsi"/>
      </w:rPr>
    </w:pPr>
    <w:r>
      <w:rPr>
        <w:rFonts w:ascii="Bookman Old Style" w:eastAsia="Bookman Old Style" w:hAnsi="Bookman Old Style" w:cs="Bookman Old Style"/>
        <w:color w:val="000000"/>
        <w:sz w:val="20"/>
        <w:szCs w:val="20"/>
      </w:rPr>
      <w:tab/>
    </w:r>
    <w:r>
      <w:rPr>
        <w:rFonts w:ascii="Bookman Old Style" w:eastAsia="Bookman Old Style" w:hAnsi="Bookman Old Style" w:cs="Bookman Old Style"/>
        <w:color w:val="000000"/>
        <w:sz w:val="20"/>
        <w:szCs w:val="20"/>
      </w:rPr>
      <w:tab/>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tab/>
    </w:r>
    <w:r>
      <w:rPr>
        <w:rFonts w:ascii="Bookman Old Style" w:eastAsia="Bookman Old Style" w:hAnsi="Bookman Old Style" w:cs="Bookman Old Style"/>
        <w:sz w:val="20"/>
        <w:szCs w:val="20"/>
      </w:rPr>
      <w:br/>
    </w:r>
    <w:r w:rsidRPr="00873DF5">
      <w:rPr>
        <w:rFonts w:asciiTheme="majorHAnsi" w:eastAsia="Bookman Old Style" w:hAnsiTheme="majorHAnsi" w:cstheme="majorHAnsi"/>
      </w:rPr>
      <w:t xml:space="preserve">      “2026</w:t>
    </w:r>
    <w:r w:rsidR="00873DF5" w:rsidRPr="00873DF5">
      <w:rPr>
        <w:rFonts w:asciiTheme="majorHAnsi" w:eastAsia="Bookman Old Style" w:hAnsiTheme="majorHAnsi" w:cstheme="majorHAnsi"/>
      </w:rPr>
      <w:t xml:space="preserve">: </w:t>
    </w:r>
    <w:r w:rsidRPr="00873DF5">
      <w:rPr>
        <w:rFonts w:asciiTheme="majorHAnsi" w:eastAsia="Bookman Old Style" w:hAnsiTheme="majorHAnsi" w:cstheme="majorHAnsi"/>
      </w:rPr>
      <w:t>20° Aniversario de la Reforma de la Constitución de la Provincia del Neuquén”</w:t>
    </w:r>
    <w:r w:rsidRPr="00873DF5">
      <w:rPr>
        <w:rFonts w:asciiTheme="majorHAnsi" w:hAnsiTheme="majorHAnsi" w:cstheme="majorHAnsi"/>
        <w:noProof/>
      </w:rPr>
      <w:drawing>
        <wp:anchor distT="0" distB="0" distL="0" distR="0" simplePos="0" relativeHeight="251658240" behindDoc="1" locked="0" layoutInCell="1" hidden="0" allowOverlap="1" wp14:anchorId="0B16FDD7" wp14:editId="0C14C7FF">
          <wp:simplePos x="0" y="0"/>
          <wp:positionH relativeFrom="column">
            <wp:posOffset>2067250</wp:posOffset>
          </wp:positionH>
          <wp:positionV relativeFrom="paragraph">
            <wp:posOffset>-887718</wp:posOffset>
          </wp:positionV>
          <wp:extent cx="1265535" cy="941831"/>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65535" cy="941831"/>
                  </a:xfrm>
                  <a:prstGeom prst="rect">
                    <a:avLst/>
                  </a:prstGeom>
                  <a:ln/>
                </pic:spPr>
              </pic:pic>
            </a:graphicData>
          </a:graphic>
        </wp:anchor>
      </w:drawing>
    </w:r>
    <w:r w:rsidRPr="00873DF5">
      <w:rPr>
        <w:rFonts w:asciiTheme="majorHAnsi" w:hAnsiTheme="majorHAnsi" w:cstheme="majorHAnsi"/>
        <w:noProof/>
      </w:rPr>
      <w:drawing>
        <wp:anchor distT="0" distB="0" distL="0" distR="0" simplePos="0" relativeHeight="251659264" behindDoc="1" locked="0" layoutInCell="1" hidden="0" allowOverlap="1" wp14:anchorId="14493F88" wp14:editId="5916F93B">
          <wp:simplePos x="0" y="0"/>
          <wp:positionH relativeFrom="column">
            <wp:posOffset>2067250</wp:posOffset>
          </wp:positionH>
          <wp:positionV relativeFrom="paragraph">
            <wp:posOffset>-887718</wp:posOffset>
          </wp:positionV>
          <wp:extent cx="1265535" cy="941831"/>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65535" cy="941831"/>
                  </a:xfrm>
                  <a:prstGeom prst="rect">
                    <a:avLst/>
                  </a:prstGeom>
                  <a:ln/>
                </pic:spPr>
              </pic:pic>
            </a:graphicData>
          </a:graphic>
        </wp:anchor>
      </w:drawing>
    </w:r>
  </w:p>
  <w:p w14:paraId="64C7D4F4" w14:textId="77777777" w:rsidR="00603B7B" w:rsidRDefault="00E229C9">
    <w:pPr>
      <w:pBdr>
        <w:top w:val="nil"/>
        <w:left w:val="nil"/>
        <w:bottom w:val="single" w:sz="4" w:space="1" w:color="000000"/>
        <w:right w:val="nil"/>
        <w:between w:val="nil"/>
      </w:pBdr>
      <w:tabs>
        <w:tab w:val="center" w:pos="4252"/>
        <w:tab w:val="right" w:pos="8504"/>
        <w:tab w:val="left" w:pos="1005"/>
      </w:tabs>
      <w:spacing w:after="0" w:line="240" w:lineRule="auto"/>
      <w:rPr>
        <w:color w:val="000000"/>
      </w:rPr>
    </w:pPr>
    <w:r>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3B7B"/>
    <w:rsid w:val="000926C7"/>
    <w:rsid w:val="00151C35"/>
    <w:rsid w:val="00210F59"/>
    <w:rsid w:val="00323D5F"/>
    <w:rsid w:val="00346BA8"/>
    <w:rsid w:val="004C0054"/>
    <w:rsid w:val="00603B7B"/>
    <w:rsid w:val="007E43F3"/>
    <w:rsid w:val="00866BFD"/>
    <w:rsid w:val="00873DF5"/>
    <w:rsid w:val="00B53732"/>
    <w:rsid w:val="00D57AF0"/>
    <w:rsid w:val="00E13B25"/>
    <w:rsid w:val="00E229C9"/>
    <w:rsid w:val="00F9296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EC46AA"/>
  <w15:docId w15:val="{140A4763-6641-4ACC-870B-D82E4C098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spacing w:after="0" w:line="240" w:lineRule="auto"/>
      <w:jc w:val="center"/>
      <w:outlineLvl w:val="1"/>
    </w:pPr>
    <w:rPr>
      <w:rFonts w:ascii="Tahoma" w:eastAsia="Tahoma" w:hAnsi="Tahoma" w:cs="Tahoma"/>
      <w:b/>
      <w:bCs/>
      <w:sz w:val="24"/>
      <w:szCs w:val="24"/>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873D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73DF5"/>
  </w:style>
  <w:style w:type="paragraph" w:styleId="Piedepgina">
    <w:name w:val="footer"/>
    <w:basedOn w:val="Normal"/>
    <w:link w:val="PiedepginaCar"/>
    <w:uiPriority w:val="99"/>
    <w:unhideWhenUsed/>
    <w:rsid w:val="00873D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73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z2O43ICiMagURsBfs66ftzerXQ==">CgMxLjAyDmguZmV3dzhxMTVyb3N0OAByITFkb0dOSV9QMWxxcm9xQjNvREZ2WnN6SkhDRzNLamo2cA==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1014</Words>
  <Characters>5577</Characters>
  <Application>Microsoft Office Word</Application>
  <DocSecurity>0</DocSecurity>
  <Lines>46</Lines>
  <Paragraphs>13</Paragraphs>
  <ScaleCrop>false</ScaleCrop>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15</cp:revision>
  <dcterms:created xsi:type="dcterms:W3CDTF">2026-06-30T12:47:00Z</dcterms:created>
  <dcterms:modified xsi:type="dcterms:W3CDTF">2026-06-30T13:49:00Z</dcterms:modified>
</cp:coreProperties>
</file>