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E5CA25" w14:textId="77777777" w:rsidR="00C512CD" w:rsidRDefault="00C512CD">
      <w:pPr>
        <w:spacing w:after="280" w:line="240" w:lineRule="auto"/>
        <w:ind w:left="-425" w:right="-692"/>
        <w:jc w:val="right"/>
        <w:rPr>
          <w:rFonts w:ascii="Arial" w:eastAsia="Arial" w:hAnsi="Arial" w:cs="Arial"/>
          <w:b/>
          <w:bCs/>
          <w:sz w:val="24"/>
          <w:szCs w:val="24"/>
        </w:rPr>
      </w:pPr>
    </w:p>
    <w:p w14:paraId="2088B05B" w14:textId="7BD6915D" w:rsidR="00C512CD" w:rsidRDefault="004A250F">
      <w:pPr>
        <w:spacing w:after="280" w:line="240" w:lineRule="auto"/>
        <w:ind w:left="-425" w:right="-692"/>
        <w:jc w:val="right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 xml:space="preserve"> ORDENANZA N.º </w:t>
      </w:r>
      <w:r w:rsidR="00986787">
        <w:rPr>
          <w:rFonts w:ascii="Arial" w:eastAsia="Arial" w:hAnsi="Arial" w:cs="Arial"/>
          <w:b/>
          <w:bCs/>
          <w:sz w:val="24"/>
          <w:szCs w:val="24"/>
        </w:rPr>
        <w:t xml:space="preserve">4386 </w:t>
      </w:r>
      <w:r>
        <w:rPr>
          <w:rFonts w:ascii="Arial" w:eastAsia="Arial" w:hAnsi="Arial" w:cs="Arial"/>
          <w:b/>
          <w:bCs/>
          <w:sz w:val="24"/>
          <w:szCs w:val="24"/>
        </w:rPr>
        <w:t>/ 2026</w:t>
      </w:r>
    </w:p>
    <w:p w14:paraId="36E24E67" w14:textId="531E3D16" w:rsidR="00C512CD" w:rsidRDefault="004A250F">
      <w:pPr>
        <w:pBdr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</w:pBdr>
        <w:tabs>
          <w:tab w:val="left" w:pos="2268"/>
        </w:tabs>
        <w:spacing w:after="240" w:line="240" w:lineRule="auto"/>
        <w:jc w:val="center"/>
        <w:rPr>
          <w:rFonts w:ascii="Arial" w:eastAsia="Arial" w:hAnsi="Arial" w:cs="Arial"/>
          <w:b/>
          <w:bCs/>
          <w:smallCaps/>
          <w:sz w:val="24"/>
          <w:szCs w:val="24"/>
        </w:rPr>
      </w:pPr>
      <w:bookmarkStart w:id="0" w:name="_heading=h.feww8q15rost" w:colFirst="0" w:colLast="0"/>
      <w:bookmarkEnd w:id="0"/>
      <w:r>
        <w:rPr>
          <w:rFonts w:ascii="Arial" w:eastAsia="Arial" w:hAnsi="Arial" w:cs="Arial"/>
          <w:b/>
          <w:bCs/>
          <w:smallCaps/>
          <w:sz w:val="24"/>
          <w:szCs w:val="24"/>
        </w:rPr>
        <w:t>TÍTULO: “</w:t>
      </w:r>
      <w:r w:rsidR="002233BE">
        <w:rPr>
          <w:rFonts w:ascii="Arial" w:eastAsia="Arial" w:hAnsi="Arial" w:cs="Arial"/>
          <w:b/>
          <w:bCs/>
          <w:smallCaps/>
          <w:sz w:val="24"/>
          <w:szCs w:val="24"/>
        </w:rPr>
        <w:t xml:space="preserve">LICENCIA ESPECIAL POR VIOLENCIA POR MOTIVOS DE GÉNERO SEGÚN LA LEY PROVINCIAL </w:t>
      </w:r>
      <w:proofErr w:type="spellStart"/>
      <w:r w:rsidR="002233BE">
        <w:rPr>
          <w:rFonts w:ascii="Arial" w:eastAsia="Arial" w:hAnsi="Arial" w:cs="Arial"/>
          <w:b/>
          <w:bCs/>
          <w:smallCaps/>
          <w:sz w:val="24"/>
          <w:szCs w:val="24"/>
        </w:rPr>
        <w:t>N°</w:t>
      </w:r>
      <w:proofErr w:type="spellEnd"/>
      <w:r w:rsidR="002233BE">
        <w:rPr>
          <w:rFonts w:ascii="Arial" w:eastAsia="Arial" w:hAnsi="Arial" w:cs="Arial"/>
          <w:b/>
          <w:bCs/>
          <w:smallCaps/>
          <w:sz w:val="24"/>
          <w:szCs w:val="24"/>
        </w:rPr>
        <w:t xml:space="preserve"> 3288</w:t>
      </w:r>
      <w:proofErr w:type="gramStart"/>
      <w:r>
        <w:rPr>
          <w:rFonts w:ascii="Arial" w:eastAsia="Arial" w:hAnsi="Arial" w:cs="Arial"/>
          <w:b/>
          <w:bCs/>
          <w:smallCaps/>
          <w:sz w:val="24"/>
          <w:szCs w:val="24"/>
        </w:rPr>
        <w:t>”</w:t>
      </w:r>
      <w:r w:rsidR="00F240D9">
        <w:rPr>
          <w:rFonts w:ascii="Arial" w:eastAsia="Arial" w:hAnsi="Arial" w:cs="Arial"/>
          <w:b/>
          <w:bCs/>
          <w:smallCaps/>
          <w:sz w:val="24"/>
          <w:szCs w:val="24"/>
        </w:rPr>
        <w:t>.-</w:t>
      </w:r>
      <w:proofErr w:type="gramEnd"/>
    </w:p>
    <w:p w14:paraId="22E699DD" w14:textId="77777777" w:rsidR="00C512CD" w:rsidRDefault="00C512CD">
      <w:pPr>
        <w:spacing w:before="280" w:after="280" w:line="240" w:lineRule="auto"/>
        <w:ind w:left="-425" w:right="-692"/>
        <w:jc w:val="both"/>
        <w:rPr>
          <w:rFonts w:ascii="Arial" w:eastAsia="Arial" w:hAnsi="Arial" w:cs="Arial"/>
          <w:b/>
          <w:bCs/>
          <w:sz w:val="24"/>
          <w:szCs w:val="24"/>
        </w:rPr>
      </w:pPr>
    </w:p>
    <w:p w14:paraId="03A981F7" w14:textId="77777777" w:rsidR="00C512CD" w:rsidRDefault="004A250F">
      <w:pPr>
        <w:spacing w:before="280" w:after="280" w:line="240" w:lineRule="auto"/>
        <w:ind w:left="-425" w:right="-692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VISTO:</w:t>
      </w:r>
    </w:p>
    <w:p w14:paraId="18EB8992" w14:textId="089E0CE4" w:rsidR="00C512CD" w:rsidRDefault="004A250F">
      <w:pPr>
        <w:spacing w:before="280" w:after="280" w:line="240" w:lineRule="auto"/>
        <w:ind w:left="-425" w:right="-692" w:firstLine="1275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La Ley Nacional 26</w:t>
      </w:r>
      <w:r w:rsidR="00F240D9"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 xml:space="preserve">485 de “Protección Integral para prevenir, sancionar y erradicar la violencia contra las mujeres en los ámbitos donde desarrollan sus relaciones interpersonales”; La Ley Provincial </w:t>
      </w:r>
      <w:proofErr w:type="spellStart"/>
      <w:r>
        <w:rPr>
          <w:rFonts w:ascii="Arial" w:eastAsia="Arial" w:hAnsi="Arial" w:cs="Arial"/>
          <w:sz w:val="24"/>
          <w:szCs w:val="24"/>
        </w:rPr>
        <w:t>N°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3</w:t>
      </w:r>
      <w:r w:rsidR="00F240D9"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 xml:space="preserve">288, que establece la licencia especial por violencia por motivos de género con goce íntegro de haberes en el ámbito de los Poderes del Estado Provincial; ; La Ley Provincial </w:t>
      </w:r>
      <w:proofErr w:type="spellStart"/>
      <w:r>
        <w:rPr>
          <w:rFonts w:ascii="Arial" w:eastAsia="Arial" w:hAnsi="Arial" w:cs="Arial"/>
          <w:sz w:val="24"/>
          <w:szCs w:val="24"/>
        </w:rPr>
        <w:t>N°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2</w:t>
      </w:r>
      <w:r w:rsidR="00F240D9"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785 "Régimen de Protección Integral para Prevenir, Sancionar y Erradicar la Violencia Familiar"; La Ley Provincial 2</w:t>
      </w:r>
      <w:r w:rsidR="00F240D9"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786 de “Protección Integral para Prevenir, Sancionar y Erradicar la Violencia contra las Mujeres”;  La Ley Provincial 3</w:t>
      </w:r>
      <w:r w:rsidR="00F240D9"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386 que adhiere a la Ley Nacional 27</w:t>
      </w:r>
      <w:r w:rsidR="00F240D9"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 xml:space="preserve">580; </w:t>
      </w:r>
    </w:p>
    <w:p w14:paraId="1F09594B" w14:textId="77777777" w:rsidR="00C512CD" w:rsidRDefault="00C512CD">
      <w:pPr>
        <w:spacing w:before="280" w:after="280" w:line="240" w:lineRule="auto"/>
        <w:ind w:left="-425" w:right="-692"/>
        <w:jc w:val="both"/>
        <w:rPr>
          <w:rFonts w:ascii="Arial" w:eastAsia="Arial" w:hAnsi="Arial" w:cs="Arial"/>
          <w:b/>
          <w:bCs/>
          <w:sz w:val="24"/>
          <w:szCs w:val="24"/>
        </w:rPr>
      </w:pPr>
    </w:p>
    <w:p w14:paraId="44B34F03" w14:textId="77777777" w:rsidR="00C512CD" w:rsidRDefault="004A250F">
      <w:pPr>
        <w:spacing w:before="280" w:after="280" w:line="240" w:lineRule="auto"/>
        <w:ind w:left="-425" w:right="-692"/>
        <w:jc w:val="both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CONSIDERANDO:</w:t>
      </w:r>
    </w:p>
    <w:p w14:paraId="2DEB0BD8" w14:textId="7389E80C" w:rsidR="00C512CD" w:rsidRDefault="004A250F">
      <w:pPr>
        <w:tabs>
          <w:tab w:val="left" w:pos="1134"/>
        </w:tabs>
        <w:spacing w:after="0"/>
        <w:ind w:left="-425" w:right="-64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 xml:space="preserve">Que, el artículo 8° de la Ley Provincial </w:t>
      </w:r>
      <w:proofErr w:type="spellStart"/>
      <w:r>
        <w:rPr>
          <w:rFonts w:ascii="Arial" w:eastAsia="Arial" w:hAnsi="Arial" w:cs="Arial"/>
          <w:sz w:val="24"/>
          <w:szCs w:val="24"/>
        </w:rPr>
        <w:t>N°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3</w:t>
      </w:r>
      <w:r w:rsidR="008F4D15"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288 invita a los municipios de primera categoría a adherir a la misma;</w:t>
      </w:r>
    </w:p>
    <w:p w14:paraId="2D322A92" w14:textId="77777777" w:rsidR="00C512CD" w:rsidRDefault="004A250F">
      <w:pPr>
        <w:tabs>
          <w:tab w:val="left" w:pos="1134"/>
        </w:tabs>
        <w:spacing w:before="240" w:after="240"/>
        <w:ind w:left="-425" w:right="-64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                        </w:t>
      </w:r>
      <w:r>
        <w:rPr>
          <w:rFonts w:ascii="Arial" w:eastAsia="Arial" w:hAnsi="Arial" w:cs="Arial"/>
          <w:sz w:val="24"/>
          <w:szCs w:val="24"/>
        </w:rPr>
        <w:tab/>
        <w:t>Que, resulta prioritario garantizar en el ámbito municipal la protección integral de las personas que atraviesen situaciones de violencia por motivos de género, resguardando su integridad física, psíquica y económica;</w:t>
      </w:r>
    </w:p>
    <w:p w14:paraId="7897F95A" w14:textId="77777777" w:rsidR="00C512CD" w:rsidRDefault="004A250F">
      <w:pPr>
        <w:tabs>
          <w:tab w:val="left" w:pos="1134"/>
        </w:tabs>
        <w:spacing w:before="240" w:after="240"/>
        <w:ind w:left="-425" w:right="-64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                        </w:t>
      </w:r>
      <w:r>
        <w:rPr>
          <w:rFonts w:ascii="Arial" w:eastAsia="Arial" w:hAnsi="Arial" w:cs="Arial"/>
          <w:sz w:val="24"/>
          <w:szCs w:val="24"/>
        </w:rPr>
        <w:tab/>
        <w:t>Que, el Municipio de Villa La Angostura debe promover políticas públicas con perspectiva de género en consonancia con la normativa provincial y nacional vigente;</w:t>
      </w:r>
    </w:p>
    <w:p w14:paraId="7945FB7C" w14:textId="77777777" w:rsidR="00C512CD" w:rsidRDefault="004A250F">
      <w:pPr>
        <w:tabs>
          <w:tab w:val="left" w:pos="1134"/>
        </w:tabs>
        <w:spacing w:before="240" w:after="240"/>
        <w:ind w:left="-425" w:right="-64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                        </w:t>
      </w:r>
      <w:r>
        <w:rPr>
          <w:rFonts w:ascii="Arial" w:eastAsia="Arial" w:hAnsi="Arial" w:cs="Arial"/>
          <w:sz w:val="24"/>
          <w:szCs w:val="24"/>
        </w:rPr>
        <w:tab/>
        <w:t>Que, la Comisión del Protocolo Guadalupe ha detectado la necesidad de establecer mecanismos claros, accesibles y confidenciales para el otorgamiento de licencias en estos casos;</w:t>
      </w:r>
    </w:p>
    <w:p w14:paraId="0CCDC5C0" w14:textId="77777777" w:rsidR="00C512CD" w:rsidRDefault="004A250F">
      <w:pPr>
        <w:tabs>
          <w:tab w:val="left" w:pos="1134"/>
        </w:tabs>
        <w:spacing w:before="240" w:after="240"/>
        <w:ind w:left="-425" w:right="-64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                        </w:t>
      </w:r>
      <w:r>
        <w:rPr>
          <w:rFonts w:ascii="Arial" w:eastAsia="Arial" w:hAnsi="Arial" w:cs="Arial"/>
          <w:sz w:val="24"/>
          <w:szCs w:val="24"/>
        </w:rPr>
        <w:tab/>
        <w:t>Que, la licencia por violencia por motivos de género debe revestir carácter especial, extraordinario, con goce íntegro de haberes, sin afectar derechos laborales ni ser compensable con otras licencias;</w:t>
      </w:r>
    </w:p>
    <w:p w14:paraId="4D281A69" w14:textId="41680957" w:rsidR="00C512CD" w:rsidRDefault="004A250F">
      <w:pPr>
        <w:tabs>
          <w:tab w:val="left" w:pos="1134"/>
        </w:tabs>
        <w:spacing w:after="0"/>
        <w:ind w:left="-425" w:right="-64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                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 xml:space="preserve">Que, el objetivo es acompañar la ruta crítica definida según la Ley 2785 como el proceso que recorren las personas que toman la decisión de salir de la situación de violencia o denuncian y llegan a esas instancias enfrentando sus miedos, amenazas externas, </w:t>
      </w:r>
      <w:r w:rsidR="008F4D15">
        <w:rPr>
          <w:rFonts w:ascii="Arial" w:eastAsia="Arial" w:hAnsi="Arial" w:cs="Arial"/>
          <w:sz w:val="24"/>
          <w:szCs w:val="24"/>
        </w:rPr>
        <w:t>y sentimientos</w:t>
      </w:r>
      <w:r>
        <w:rPr>
          <w:rFonts w:ascii="Arial" w:eastAsia="Arial" w:hAnsi="Arial" w:cs="Arial"/>
          <w:sz w:val="24"/>
          <w:szCs w:val="24"/>
        </w:rPr>
        <w:t xml:space="preserve"> de vergüenza y culpa.</w:t>
      </w:r>
    </w:p>
    <w:p w14:paraId="168A08D0" w14:textId="77777777" w:rsidR="00C512CD" w:rsidRDefault="004A250F">
      <w:pPr>
        <w:tabs>
          <w:tab w:val="left" w:pos="1134"/>
        </w:tabs>
        <w:spacing w:before="240" w:after="240"/>
        <w:ind w:left="-425" w:right="-64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                        </w:t>
      </w:r>
      <w:r>
        <w:rPr>
          <w:rFonts w:ascii="Arial" w:eastAsia="Arial" w:hAnsi="Arial" w:cs="Arial"/>
          <w:sz w:val="24"/>
          <w:szCs w:val="24"/>
        </w:rPr>
        <w:tab/>
        <w:t>Que, corresponde establecer criterios claros de implementación que aseguren tanto la protección de las personas afectadas como la adecuada administración del recurso humano municipal;</w:t>
      </w:r>
    </w:p>
    <w:p w14:paraId="0E246A89" w14:textId="3AE9AFFA" w:rsidR="00C512CD" w:rsidRDefault="004A250F" w:rsidP="00992010">
      <w:pPr>
        <w:tabs>
          <w:tab w:val="left" w:pos="1134"/>
        </w:tabs>
        <w:spacing w:before="240" w:after="240"/>
        <w:ind w:left="-425" w:right="-64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                        </w:t>
      </w:r>
      <w:r>
        <w:rPr>
          <w:rFonts w:ascii="Arial" w:eastAsia="Arial" w:hAnsi="Arial" w:cs="Arial"/>
          <w:sz w:val="24"/>
          <w:szCs w:val="24"/>
        </w:rPr>
        <w:tab/>
        <w:t>Que, es facultad del Departamento Ejecutivo reglamentar las normas necesarias para la implementación de la presente;</w:t>
      </w:r>
    </w:p>
    <w:p w14:paraId="2617B5C1" w14:textId="77777777" w:rsidR="00C512CD" w:rsidRDefault="004A250F">
      <w:pPr>
        <w:tabs>
          <w:tab w:val="left" w:pos="1134"/>
        </w:tabs>
        <w:ind w:left="-425" w:right="-646"/>
        <w:jc w:val="center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Por ello y conforme a lo dispuesto en el Art. 107 de la carta Orgánica Municipal</w:t>
      </w:r>
    </w:p>
    <w:p w14:paraId="76A4787D" w14:textId="77777777" w:rsidR="00C512CD" w:rsidRDefault="00C512CD">
      <w:pPr>
        <w:pStyle w:val="Ttulo2"/>
        <w:ind w:left="-425" w:right="-646"/>
        <w:rPr>
          <w:rFonts w:ascii="Arial" w:eastAsia="Arial" w:hAnsi="Arial" w:cs="Arial"/>
        </w:rPr>
      </w:pPr>
    </w:p>
    <w:p w14:paraId="1EAF4946" w14:textId="77777777" w:rsidR="00C512CD" w:rsidRDefault="004A250F">
      <w:pPr>
        <w:pStyle w:val="Ttulo2"/>
        <w:ind w:left="-425" w:right="-646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El Concejo Deliberante de la Municipalidad de Villa La Angostura</w:t>
      </w:r>
    </w:p>
    <w:p w14:paraId="459AD1A1" w14:textId="77777777" w:rsidR="00C512CD" w:rsidRDefault="004A250F">
      <w:pPr>
        <w:pStyle w:val="Ttulo2"/>
        <w:ind w:left="-425" w:right="-646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SANCIONA CON FUERZA DE</w:t>
      </w:r>
    </w:p>
    <w:p w14:paraId="5F68E71A" w14:textId="77777777" w:rsidR="00C512CD" w:rsidRDefault="004A250F">
      <w:pPr>
        <w:pStyle w:val="Ttulo2"/>
        <w:ind w:left="-425" w:right="-646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ORDENANZA</w:t>
      </w:r>
    </w:p>
    <w:p w14:paraId="5676B393" w14:textId="77777777" w:rsidR="00C512CD" w:rsidRDefault="00C512CD">
      <w:pPr>
        <w:ind w:left="-425" w:right="-646"/>
      </w:pPr>
    </w:p>
    <w:p w14:paraId="22D3F428" w14:textId="3210DD5E" w:rsidR="00C512CD" w:rsidRDefault="004A250F">
      <w:pPr>
        <w:spacing w:after="0" w:line="240" w:lineRule="auto"/>
        <w:ind w:left="-425" w:right="-64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ARTÍCULO 1º: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CRÉASE </w:t>
      </w:r>
      <w:r>
        <w:rPr>
          <w:rFonts w:ascii="Arial" w:eastAsia="Arial" w:hAnsi="Arial" w:cs="Arial"/>
          <w:sz w:val="24"/>
          <w:szCs w:val="24"/>
        </w:rPr>
        <w:t xml:space="preserve">la licencia por violencia por motivos de género con goce íntegro de haberes al régimen del personal </w:t>
      </w:r>
      <w:proofErr w:type="gramStart"/>
      <w:r>
        <w:rPr>
          <w:rFonts w:ascii="Arial" w:eastAsia="Arial" w:hAnsi="Arial" w:cs="Arial"/>
          <w:sz w:val="24"/>
          <w:szCs w:val="24"/>
        </w:rPr>
        <w:t>municipal.</w:t>
      </w:r>
      <w:r w:rsidR="00992010">
        <w:rPr>
          <w:rFonts w:ascii="Arial" w:eastAsia="Arial" w:hAnsi="Arial" w:cs="Arial"/>
          <w:sz w:val="24"/>
          <w:szCs w:val="24"/>
        </w:rPr>
        <w:t>-</w:t>
      </w:r>
      <w:proofErr w:type="gramEnd"/>
    </w:p>
    <w:p w14:paraId="384A6FA2" w14:textId="77777777" w:rsidR="00C512CD" w:rsidRDefault="004A250F">
      <w:pPr>
        <w:spacing w:after="0" w:line="240" w:lineRule="auto"/>
        <w:ind w:left="-425" w:right="-64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1AA9702C" w14:textId="162752C1" w:rsidR="00C512CD" w:rsidRDefault="004A250F">
      <w:pPr>
        <w:spacing w:after="0" w:line="240" w:lineRule="auto"/>
        <w:ind w:left="-425" w:right="-64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ARTÍCULO 2º: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APLÍQUESE</w:t>
      </w:r>
      <w:r>
        <w:rPr>
          <w:rFonts w:ascii="Arial" w:eastAsia="Arial" w:hAnsi="Arial" w:cs="Arial"/>
          <w:sz w:val="24"/>
          <w:szCs w:val="24"/>
        </w:rPr>
        <w:t xml:space="preserve"> la presente licencia será de aplicación al personal municipal comprendido en el régimen de empleo público establecido por la Ordenanza </w:t>
      </w:r>
      <w:proofErr w:type="spellStart"/>
      <w:r>
        <w:rPr>
          <w:rFonts w:ascii="Arial" w:eastAsia="Arial" w:hAnsi="Arial" w:cs="Arial"/>
          <w:sz w:val="24"/>
          <w:szCs w:val="24"/>
        </w:rPr>
        <w:t>N°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1609/05, correspondiente a la planta permanente y planta temporaria del </w:t>
      </w:r>
      <w:proofErr w:type="gramStart"/>
      <w:r>
        <w:rPr>
          <w:rFonts w:ascii="Arial" w:eastAsia="Arial" w:hAnsi="Arial" w:cs="Arial"/>
          <w:sz w:val="24"/>
          <w:szCs w:val="24"/>
        </w:rPr>
        <w:t>Municipio.</w:t>
      </w:r>
      <w:r w:rsidR="00992010">
        <w:rPr>
          <w:rFonts w:ascii="Arial" w:eastAsia="Arial" w:hAnsi="Arial" w:cs="Arial"/>
          <w:sz w:val="24"/>
          <w:szCs w:val="24"/>
        </w:rPr>
        <w:t>-</w:t>
      </w:r>
      <w:proofErr w:type="gramEnd"/>
      <w:r>
        <w:rPr>
          <w:rFonts w:ascii="Arial" w:eastAsia="Arial" w:hAnsi="Arial" w:cs="Arial"/>
          <w:sz w:val="24"/>
          <w:szCs w:val="24"/>
        </w:rPr>
        <w:br/>
      </w:r>
      <w:r>
        <w:rPr>
          <w:rFonts w:ascii="Arial" w:eastAsia="Arial" w:hAnsi="Arial" w:cs="Arial"/>
          <w:sz w:val="24"/>
          <w:szCs w:val="24"/>
        </w:rPr>
        <w:br/>
      </w:r>
      <w:r>
        <w:rPr>
          <w:rFonts w:ascii="Arial" w:eastAsia="Arial" w:hAnsi="Arial" w:cs="Arial"/>
          <w:b/>
          <w:bCs/>
          <w:sz w:val="24"/>
          <w:szCs w:val="24"/>
        </w:rPr>
        <w:t xml:space="preserve">ARTÍCULO 3°: DESÍGNASE </w:t>
      </w:r>
      <w:r>
        <w:rPr>
          <w:rFonts w:ascii="Arial" w:eastAsia="Arial" w:hAnsi="Arial" w:cs="Arial"/>
          <w:sz w:val="24"/>
          <w:szCs w:val="24"/>
        </w:rPr>
        <w:t xml:space="preserve">como Autoridad de Aplicación a la Secretaría de Gobierno o al área que el Departamento Ejecutivo determine, quien dictará las normas complementarias necesarias para su </w:t>
      </w:r>
      <w:proofErr w:type="gramStart"/>
      <w:r>
        <w:rPr>
          <w:rFonts w:ascii="Arial" w:eastAsia="Arial" w:hAnsi="Arial" w:cs="Arial"/>
          <w:sz w:val="24"/>
          <w:szCs w:val="24"/>
        </w:rPr>
        <w:t>implementación.</w:t>
      </w:r>
      <w:r w:rsidR="00992010">
        <w:rPr>
          <w:rFonts w:ascii="Arial" w:eastAsia="Arial" w:hAnsi="Arial" w:cs="Arial"/>
          <w:sz w:val="24"/>
          <w:szCs w:val="24"/>
        </w:rPr>
        <w:t>-</w:t>
      </w:r>
      <w:proofErr w:type="gramEnd"/>
    </w:p>
    <w:p w14:paraId="7141050C" w14:textId="77777777" w:rsidR="00C512CD" w:rsidRDefault="004A250F">
      <w:pPr>
        <w:spacing w:after="0" w:line="240" w:lineRule="auto"/>
        <w:ind w:left="-425" w:right="-64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666B9EFC" w14:textId="7D9E64DD" w:rsidR="00C512CD" w:rsidRDefault="004A250F">
      <w:pPr>
        <w:spacing w:after="0" w:line="240" w:lineRule="auto"/>
        <w:ind w:left="-425" w:right="-64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ARTÍCULO 4°:</w:t>
      </w:r>
      <w:r>
        <w:rPr>
          <w:rFonts w:ascii="Arial" w:eastAsia="Arial" w:hAnsi="Arial" w:cs="Arial"/>
          <w:sz w:val="24"/>
          <w:szCs w:val="24"/>
        </w:rPr>
        <w:t xml:space="preserve"> La licencia por violencia por motivos de género tendrá carácter especial y extraordinario, destinada a acompañar la ruta crítica descrita en los considerandos, con goce íntegro de haberes, y no podrá ser compensada ni descontada de otras licencias previstas en el régimen laboral </w:t>
      </w:r>
      <w:proofErr w:type="gramStart"/>
      <w:r>
        <w:rPr>
          <w:rFonts w:ascii="Arial" w:eastAsia="Arial" w:hAnsi="Arial" w:cs="Arial"/>
          <w:sz w:val="24"/>
          <w:szCs w:val="24"/>
        </w:rPr>
        <w:t>vigente.</w:t>
      </w:r>
      <w:r w:rsidR="00992010">
        <w:rPr>
          <w:rFonts w:ascii="Arial" w:eastAsia="Arial" w:hAnsi="Arial" w:cs="Arial"/>
          <w:sz w:val="24"/>
          <w:szCs w:val="24"/>
        </w:rPr>
        <w:t>-</w:t>
      </w:r>
      <w:proofErr w:type="gramEnd"/>
    </w:p>
    <w:p w14:paraId="49BF0CAD" w14:textId="77777777" w:rsidR="00C512CD" w:rsidRDefault="00C512CD">
      <w:pPr>
        <w:spacing w:after="0" w:line="240" w:lineRule="auto"/>
        <w:ind w:left="-425" w:right="-646"/>
        <w:jc w:val="both"/>
        <w:rPr>
          <w:rFonts w:ascii="Arial" w:eastAsia="Arial" w:hAnsi="Arial" w:cs="Arial"/>
          <w:sz w:val="24"/>
          <w:szCs w:val="24"/>
        </w:rPr>
      </w:pPr>
    </w:p>
    <w:p w14:paraId="41562E9A" w14:textId="77777777" w:rsidR="00C512CD" w:rsidRDefault="004A250F">
      <w:pPr>
        <w:spacing w:before="240" w:after="240" w:line="240" w:lineRule="auto"/>
        <w:ind w:left="-425" w:right="-64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ARTÍCULO 5°:</w:t>
      </w:r>
      <w:r>
        <w:rPr>
          <w:rFonts w:ascii="Arial" w:eastAsia="Arial" w:hAnsi="Arial" w:cs="Arial"/>
          <w:sz w:val="24"/>
          <w:szCs w:val="24"/>
        </w:rPr>
        <w:t xml:space="preserve"> La solicitud de licencia podrá realizarse por cualquier medio fehaciente ante la Dirección de Recursos Humanos o el área competente, garantizándose:</w:t>
      </w:r>
    </w:p>
    <w:p w14:paraId="2246970C" w14:textId="77777777" w:rsidR="00C512CD" w:rsidRDefault="004A250F">
      <w:pPr>
        <w:spacing w:before="240" w:after="240" w:line="240" w:lineRule="auto"/>
        <w:ind w:left="-425" w:right="-64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a) Confidencialidad absoluta;</w:t>
      </w:r>
      <w:r>
        <w:rPr>
          <w:rFonts w:ascii="Arial" w:eastAsia="Arial" w:hAnsi="Arial" w:cs="Arial"/>
          <w:sz w:val="24"/>
          <w:szCs w:val="24"/>
        </w:rPr>
        <w:br/>
        <w:t>b) Trato respetuoso y libre de revictimización;</w:t>
      </w:r>
      <w:r>
        <w:rPr>
          <w:rFonts w:ascii="Arial" w:eastAsia="Arial" w:hAnsi="Arial" w:cs="Arial"/>
          <w:sz w:val="24"/>
          <w:szCs w:val="24"/>
        </w:rPr>
        <w:br/>
        <w:t>c) Protección de datos personales conforme normativa vigente.</w:t>
      </w:r>
    </w:p>
    <w:p w14:paraId="091D7DAE" w14:textId="027EE066" w:rsidR="00C512CD" w:rsidRDefault="004A250F">
      <w:pPr>
        <w:spacing w:before="240" w:after="240" w:line="240" w:lineRule="auto"/>
        <w:ind w:left="-425" w:right="-64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La persona solicitante contará con un plazo de cinco (5) días hábiles para acompañar constancia de denuncia judicial o acreditación de intervención de organismos competentes en la </w:t>
      </w:r>
      <w:proofErr w:type="gramStart"/>
      <w:r>
        <w:rPr>
          <w:rFonts w:ascii="Arial" w:eastAsia="Arial" w:hAnsi="Arial" w:cs="Arial"/>
          <w:sz w:val="24"/>
          <w:szCs w:val="24"/>
        </w:rPr>
        <w:t>materia.</w:t>
      </w:r>
      <w:r w:rsidR="00992010">
        <w:rPr>
          <w:rFonts w:ascii="Arial" w:eastAsia="Arial" w:hAnsi="Arial" w:cs="Arial"/>
          <w:sz w:val="24"/>
          <w:szCs w:val="24"/>
        </w:rPr>
        <w:t>-</w:t>
      </w:r>
      <w:proofErr w:type="gramEnd"/>
    </w:p>
    <w:p w14:paraId="4B6B3947" w14:textId="77777777" w:rsidR="00C512CD" w:rsidRDefault="004A250F">
      <w:pPr>
        <w:spacing w:before="240" w:after="240" w:line="240" w:lineRule="auto"/>
        <w:ind w:left="-425" w:right="-64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ARTÍCULO 6°:</w:t>
      </w:r>
      <w:r>
        <w:rPr>
          <w:rFonts w:ascii="Arial" w:eastAsia="Arial" w:hAnsi="Arial" w:cs="Arial"/>
          <w:sz w:val="24"/>
          <w:szCs w:val="24"/>
        </w:rPr>
        <w:t xml:space="preserve"> El otorgamiento y plazo de la licencia será determinado en función de por lo menos, una de las siguientes opciones:</w:t>
      </w:r>
    </w:p>
    <w:p w14:paraId="6B81340E" w14:textId="77777777" w:rsidR="00C512CD" w:rsidRDefault="004A250F">
      <w:pPr>
        <w:spacing w:before="240" w:after="240" w:line="240" w:lineRule="auto"/>
        <w:ind w:left="-425" w:right="-64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a) Informe del profesional médico tratante y médico laboral;</w:t>
      </w:r>
      <w:r>
        <w:rPr>
          <w:rFonts w:ascii="Arial" w:eastAsia="Arial" w:hAnsi="Arial" w:cs="Arial"/>
          <w:sz w:val="24"/>
          <w:szCs w:val="24"/>
        </w:rPr>
        <w:br/>
        <w:t>b) Intervención de autoridad judicial competente;</w:t>
      </w:r>
      <w:r>
        <w:rPr>
          <w:rFonts w:ascii="Arial" w:eastAsia="Arial" w:hAnsi="Arial" w:cs="Arial"/>
          <w:sz w:val="24"/>
          <w:szCs w:val="24"/>
        </w:rPr>
        <w:br/>
        <w:t>c) Informes de organismos especializados en violencia por motivos de género, con el aval de los profesionales que integran sus equipos técnicos.</w:t>
      </w:r>
    </w:p>
    <w:p w14:paraId="56B6E011" w14:textId="40907FAD" w:rsidR="00C512CD" w:rsidRDefault="004A250F">
      <w:pPr>
        <w:spacing w:after="240" w:line="240" w:lineRule="auto"/>
        <w:ind w:left="-425" w:right="-64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La licencia podrá otorgarse en forma continua o discontinua por un plazo de hasta 15 (quince) días hábiles, y será prorrogable por un máximo de 3 (tres) meses, mientras subsistan las causas que la originaron y esto se encuentre debidamente </w:t>
      </w:r>
      <w:proofErr w:type="gramStart"/>
      <w:r>
        <w:rPr>
          <w:rFonts w:ascii="Arial" w:eastAsia="Arial" w:hAnsi="Arial" w:cs="Arial"/>
          <w:sz w:val="24"/>
          <w:szCs w:val="24"/>
        </w:rPr>
        <w:t>certificado.</w:t>
      </w:r>
      <w:r w:rsidR="00992010">
        <w:rPr>
          <w:rFonts w:ascii="Arial" w:eastAsia="Arial" w:hAnsi="Arial" w:cs="Arial"/>
          <w:sz w:val="24"/>
          <w:szCs w:val="24"/>
        </w:rPr>
        <w:t>-</w:t>
      </w:r>
      <w:proofErr w:type="gramEnd"/>
    </w:p>
    <w:p w14:paraId="40BEC411" w14:textId="77777777" w:rsidR="00C512CD" w:rsidRDefault="00C512CD">
      <w:pPr>
        <w:spacing w:before="240" w:after="240" w:line="240" w:lineRule="auto"/>
        <w:ind w:left="-425" w:right="-646"/>
        <w:jc w:val="both"/>
        <w:rPr>
          <w:rFonts w:ascii="Arial" w:eastAsia="Arial" w:hAnsi="Arial" w:cs="Arial"/>
          <w:b/>
          <w:bCs/>
          <w:sz w:val="24"/>
          <w:szCs w:val="24"/>
        </w:rPr>
      </w:pPr>
    </w:p>
    <w:p w14:paraId="71749C7C" w14:textId="77777777" w:rsidR="00C512CD" w:rsidRDefault="004A250F">
      <w:pPr>
        <w:spacing w:before="240" w:after="240" w:line="240" w:lineRule="auto"/>
        <w:ind w:left="-425" w:right="-64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ARTÍCULO 7°:</w:t>
      </w:r>
      <w:r>
        <w:rPr>
          <w:rFonts w:ascii="Arial" w:eastAsia="Arial" w:hAnsi="Arial" w:cs="Arial"/>
          <w:sz w:val="24"/>
          <w:szCs w:val="24"/>
        </w:rPr>
        <w:t xml:space="preserve"> El uso de la presente licencia no afectará:</w:t>
      </w:r>
    </w:p>
    <w:p w14:paraId="21A438DC" w14:textId="77777777" w:rsidR="00C512CD" w:rsidRDefault="004A250F">
      <w:pPr>
        <w:spacing w:before="240" w:after="240" w:line="240" w:lineRule="auto"/>
        <w:ind w:left="-425" w:right="-64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a) La estabilidad laboral;</w:t>
      </w:r>
      <w:r>
        <w:rPr>
          <w:rFonts w:ascii="Arial" w:eastAsia="Arial" w:hAnsi="Arial" w:cs="Arial"/>
          <w:sz w:val="24"/>
          <w:szCs w:val="24"/>
        </w:rPr>
        <w:br/>
        <w:t>b) La remuneración;</w:t>
      </w:r>
      <w:r>
        <w:rPr>
          <w:rFonts w:ascii="Arial" w:eastAsia="Arial" w:hAnsi="Arial" w:cs="Arial"/>
          <w:sz w:val="24"/>
          <w:szCs w:val="24"/>
        </w:rPr>
        <w:br/>
        <w:t>c) Los derechos a ascensos, recategorizaciones o concursos;</w:t>
      </w:r>
      <w:r>
        <w:rPr>
          <w:rFonts w:ascii="Arial" w:eastAsia="Arial" w:hAnsi="Arial" w:cs="Arial"/>
          <w:sz w:val="24"/>
          <w:szCs w:val="24"/>
        </w:rPr>
        <w:br/>
        <w:t>d) Las evaluaciones de desempeño, no pudiendo ser considerada inasistencia injustificada.</w:t>
      </w:r>
    </w:p>
    <w:p w14:paraId="3426147B" w14:textId="587366A5" w:rsidR="00C512CD" w:rsidRDefault="004A250F">
      <w:pPr>
        <w:spacing w:before="240" w:after="240" w:line="240" w:lineRule="auto"/>
        <w:ind w:left="-425" w:right="-646"/>
        <w:jc w:val="both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Queda prohibida cualquier forma de discriminación directa o indirecta derivada de su </w:t>
      </w:r>
      <w:proofErr w:type="gramStart"/>
      <w:r>
        <w:rPr>
          <w:rFonts w:ascii="Arial" w:eastAsia="Arial" w:hAnsi="Arial" w:cs="Arial"/>
          <w:sz w:val="24"/>
          <w:szCs w:val="24"/>
        </w:rPr>
        <w:t>utilización.</w:t>
      </w:r>
      <w:r w:rsidR="00992010">
        <w:rPr>
          <w:rFonts w:ascii="Arial" w:eastAsia="Arial" w:hAnsi="Arial" w:cs="Arial"/>
          <w:sz w:val="24"/>
          <w:szCs w:val="24"/>
        </w:rPr>
        <w:t>-</w:t>
      </w:r>
      <w:proofErr w:type="gramEnd"/>
    </w:p>
    <w:p w14:paraId="33EC943E" w14:textId="5E35AD9F" w:rsidR="00C512CD" w:rsidRDefault="004A250F">
      <w:pPr>
        <w:spacing w:before="240" w:after="240" w:line="240" w:lineRule="auto"/>
        <w:ind w:left="-425" w:right="-646"/>
        <w:jc w:val="both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lastRenderedPageBreak/>
        <w:t>ARTÍCULO 8°:</w:t>
      </w:r>
      <w:r>
        <w:rPr>
          <w:rFonts w:ascii="Arial" w:eastAsia="Arial" w:hAnsi="Arial" w:cs="Arial"/>
          <w:sz w:val="24"/>
          <w:szCs w:val="24"/>
        </w:rPr>
        <w:t xml:space="preserve"> El Departamento Ejecutivo, a través del área competente y en articulación con la Dirección de Recursos Humanos podrá evaluar, a solicitud de la persona, medidas laborales transitorias tales como cambio de dependencia, adecuación de tareas o modificación de </w:t>
      </w:r>
      <w:proofErr w:type="gramStart"/>
      <w:r>
        <w:rPr>
          <w:rFonts w:ascii="Arial" w:eastAsia="Arial" w:hAnsi="Arial" w:cs="Arial"/>
          <w:sz w:val="24"/>
          <w:szCs w:val="24"/>
        </w:rPr>
        <w:t>horarios.</w:t>
      </w:r>
      <w:r w:rsidR="00992010">
        <w:rPr>
          <w:rFonts w:ascii="Arial" w:eastAsia="Arial" w:hAnsi="Arial" w:cs="Arial"/>
          <w:sz w:val="24"/>
          <w:szCs w:val="24"/>
        </w:rPr>
        <w:t>-</w:t>
      </w:r>
      <w:proofErr w:type="gramEnd"/>
    </w:p>
    <w:p w14:paraId="15FFD509" w14:textId="4C5289E6" w:rsidR="00C512CD" w:rsidRDefault="004A250F">
      <w:pPr>
        <w:spacing w:before="240" w:after="240" w:line="240" w:lineRule="auto"/>
        <w:ind w:left="-425" w:right="-646"/>
        <w:jc w:val="both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ARTÍCULO 9°:</w:t>
      </w:r>
      <w:r>
        <w:rPr>
          <w:rFonts w:ascii="Arial" w:eastAsia="Arial" w:hAnsi="Arial" w:cs="Arial"/>
          <w:sz w:val="24"/>
          <w:szCs w:val="24"/>
        </w:rPr>
        <w:t xml:space="preserve"> Toda documentación vinculada a la presente licencia será considerada información sensible y deberá tramitar mediante mecanismos que garanticen su reserva, con acceso </w:t>
      </w:r>
      <w:proofErr w:type="gramStart"/>
      <w:r>
        <w:rPr>
          <w:rFonts w:ascii="Arial" w:eastAsia="Arial" w:hAnsi="Arial" w:cs="Arial"/>
          <w:sz w:val="24"/>
          <w:szCs w:val="24"/>
        </w:rPr>
        <w:t>restringido.</w:t>
      </w:r>
      <w:r w:rsidR="00992010">
        <w:rPr>
          <w:rFonts w:ascii="Arial" w:eastAsia="Arial" w:hAnsi="Arial" w:cs="Arial"/>
          <w:sz w:val="24"/>
          <w:szCs w:val="24"/>
        </w:rPr>
        <w:t>-</w:t>
      </w:r>
      <w:proofErr w:type="gramEnd"/>
    </w:p>
    <w:p w14:paraId="129C6AD3" w14:textId="15810DEE" w:rsidR="00C512CD" w:rsidRDefault="004A250F">
      <w:pPr>
        <w:spacing w:before="240" w:after="240" w:line="240" w:lineRule="auto"/>
        <w:ind w:left="-425" w:right="-646"/>
        <w:jc w:val="both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ARTÍCULO 10°: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FACÚLTASE</w:t>
      </w:r>
      <w:r>
        <w:rPr>
          <w:rFonts w:ascii="Arial" w:eastAsia="Arial" w:hAnsi="Arial" w:cs="Arial"/>
          <w:sz w:val="24"/>
          <w:szCs w:val="24"/>
        </w:rPr>
        <w:t xml:space="preserve"> al Departamento Ejecutivo a reglamentar la presente ordenanza, estableciendo procedimientos administrativos, circuitos de intervención y mecanismos de </w:t>
      </w:r>
      <w:proofErr w:type="gramStart"/>
      <w:r>
        <w:rPr>
          <w:rFonts w:ascii="Arial" w:eastAsia="Arial" w:hAnsi="Arial" w:cs="Arial"/>
          <w:sz w:val="24"/>
          <w:szCs w:val="24"/>
        </w:rPr>
        <w:t>control.</w:t>
      </w:r>
      <w:r w:rsidR="00992010">
        <w:rPr>
          <w:rFonts w:ascii="Arial" w:eastAsia="Arial" w:hAnsi="Arial" w:cs="Arial"/>
          <w:sz w:val="24"/>
          <w:szCs w:val="24"/>
        </w:rPr>
        <w:t>-</w:t>
      </w:r>
      <w:proofErr w:type="gramEnd"/>
    </w:p>
    <w:p w14:paraId="15BAEF1B" w14:textId="06FDF589" w:rsidR="00C512CD" w:rsidRDefault="004A250F">
      <w:pPr>
        <w:spacing w:before="280" w:after="280" w:line="240" w:lineRule="auto"/>
        <w:ind w:left="-425" w:right="-646"/>
        <w:jc w:val="both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ARTÍCULO 11°: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COMUNÍQUESE</w:t>
      </w:r>
      <w:r>
        <w:rPr>
          <w:rFonts w:ascii="Arial" w:eastAsia="Arial" w:hAnsi="Arial" w:cs="Arial"/>
          <w:sz w:val="24"/>
          <w:szCs w:val="24"/>
        </w:rPr>
        <w:t xml:space="preserve">, regístrese, publíquese y cumplido, </w:t>
      </w:r>
      <w:proofErr w:type="gramStart"/>
      <w:r>
        <w:rPr>
          <w:rFonts w:ascii="Arial" w:eastAsia="Arial" w:hAnsi="Arial" w:cs="Arial"/>
          <w:sz w:val="24"/>
          <w:szCs w:val="24"/>
        </w:rPr>
        <w:t>archívese.</w:t>
      </w:r>
      <w:r w:rsidR="00992010">
        <w:rPr>
          <w:rFonts w:ascii="Arial" w:eastAsia="Arial" w:hAnsi="Arial" w:cs="Arial"/>
          <w:sz w:val="24"/>
          <w:szCs w:val="24"/>
        </w:rPr>
        <w:t>-</w:t>
      </w:r>
      <w:proofErr w:type="gramEnd"/>
    </w:p>
    <w:p w14:paraId="5777D300" w14:textId="77777777" w:rsidR="00AB70E4" w:rsidRPr="00AB70E4" w:rsidRDefault="00AB70E4" w:rsidP="00AB70E4">
      <w:pPr>
        <w:tabs>
          <w:tab w:val="left" w:pos="2835"/>
        </w:tabs>
        <w:spacing w:after="240"/>
        <w:jc w:val="center"/>
        <w:rPr>
          <w:rFonts w:ascii="Arial" w:eastAsia="Arial" w:hAnsi="Arial" w:cs="Arial"/>
          <w:sz w:val="24"/>
          <w:szCs w:val="24"/>
        </w:rPr>
      </w:pPr>
      <w:r w:rsidRPr="00AB70E4">
        <w:rPr>
          <w:rFonts w:ascii="Arial" w:eastAsia="Arial" w:hAnsi="Arial" w:cs="Arial"/>
          <w:sz w:val="24"/>
          <w:szCs w:val="24"/>
        </w:rPr>
        <w:t xml:space="preserve">Dada en la Sala de Sesiones Don Humberto Rolando del Concejo Deliberante, a los ocho días del mes de julio del año 2026, en Sesión Ordinaria </w:t>
      </w:r>
      <w:proofErr w:type="spellStart"/>
      <w:r w:rsidRPr="00AB70E4">
        <w:rPr>
          <w:rFonts w:ascii="Arial" w:eastAsia="Arial" w:hAnsi="Arial" w:cs="Arial"/>
          <w:sz w:val="24"/>
          <w:szCs w:val="24"/>
        </w:rPr>
        <w:t>N°</w:t>
      </w:r>
      <w:proofErr w:type="spellEnd"/>
      <w:r w:rsidRPr="00AB70E4">
        <w:rPr>
          <w:rFonts w:ascii="Arial" w:eastAsia="Arial" w:hAnsi="Arial" w:cs="Arial"/>
          <w:sz w:val="24"/>
          <w:szCs w:val="24"/>
        </w:rPr>
        <w:t xml:space="preserve"> X, Acta </w:t>
      </w:r>
      <w:proofErr w:type="spellStart"/>
      <w:r w:rsidRPr="00AB70E4">
        <w:rPr>
          <w:rFonts w:ascii="Arial" w:eastAsia="Arial" w:hAnsi="Arial" w:cs="Arial"/>
          <w:sz w:val="24"/>
          <w:szCs w:val="24"/>
        </w:rPr>
        <w:t>N°</w:t>
      </w:r>
      <w:proofErr w:type="spellEnd"/>
      <w:r w:rsidRPr="00AB70E4">
        <w:rPr>
          <w:rFonts w:ascii="Arial" w:eastAsia="Arial" w:hAnsi="Arial" w:cs="Arial"/>
          <w:sz w:val="24"/>
          <w:szCs w:val="24"/>
        </w:rPr>
        <w:t xml:space="preserve"> 1993.-</w:t>
      </w:r>
    </w:p>
    <w:p w14:paraId="3F73991A" w14:textId="77777777" w:rsidR="00C512CD" w:rsidRDefault="00C512CD" w:rsidP="00992010">
      <w:pPr>
        <w:spacing w:after="0" w:line="240" w:lineRule="auto"/>
        <w:ind w:left="-425" w:right="-646"/>
        <w:jc w:val="both"/>
        <w:rPr>
          <w:rFonts w:ascii="Arial" w:eastAsia="Arial" w:hAnsi="Arial" w:cs="Arial"/>
          <w:b/>
          <w:bCs/>
          <w:sz w:val="24"/>
          <w:szCs w:val="24"/>
          <w:highlight w:val="white"/>
        </w:rPr>
      </w:pPr>
    </w:p>
    <w:p w14:paraId="3EDCC8B9" w14:textId="77777777" w:rsidR="00992010" w:rsidRPr="00992010" w:rsidRDefault="00992010" w:rsidP="00992010">
      <w:pPr>
        <w:tabs>
          <w:tab w:val="left" w:pos="2835"/>
        </w:tabs>
        <w:spacing w:after="0"/>
        <w:ind w:left="-425" w:right="-692"/>
        <w:rPr>
          <w:rFonts w:ascii="Arial" w:eastAsia="Arial" w:hAnsi="Arial" w:cs="Arial"/>
          <w:sz w:val="24"/>
          <w:szCs w:val="24"/>
        </w:rPr>
      </w:pPr>
      <w:r w:rsidRPr="00992010">
        <w:rPr>
          <w:rFonts w:ascii="Arial" w:eastAsia="Arial" w:hAnsi="Arial" w:cs="Arial"/>
          <w:sz w:val="24"/>
          <w:szCs w:val="24"/>
        </w:rPr>
        <w:t>Autoría:</w:t>
      </w:r>
    </w:p>
    <w:p w14:paraId="370D2E29" w14:textId="77777777" w:rsidR="00992010" w:rsidRPr="00992010" w:rsidRDefault="00992010" w:rsidP="00992010">
      <w:pPr>
        <w:tabs>
          <w:tab w:val="left" w:pos="2835"/>
        </w:tabs>
        <w:spacing w:after="0"/>
        <w:ind w:left="-425" w:right="-692"/>
        <w:rPr>
          <w:rFonts w:ascii="Arial" w:eastAsia="Arial" w:hAnsi="Arial" w:cs="Arial"/>
          <w:sz w:val="24"/>
          <w:szCs w:val="24"/>
        </w:rPr>
      </w:pPr>
      <w:r w:rsidRPr="00992010">
        <w:rPr>
          <w:rFonts w:ascii="Arial" w:eastAsia="Arial" w:hAnsi="Arial" w:cs="Arial"/>
          <w:sz w:val="24"/>
          <w:szCs w:val="24"/>
        </w:rPr>
        <w:t>Concejal Sebastián Raimondo (Bloque Comunidad)</w:t>
      </w:r>
    </w:p>
    <w:p w14:paraId="0FB0A347" w14:textId="77777777" w:rsidR="00992010" w:rsidRPr="00992010" w:rsidRDefault="00992010" w:rsidP="00992010">
      <w:pPr>
        <w:tabs>
          <w:tab w:val="left" w:pos="2835"/>
        </w:tabs>
        <w:spacing w:after="0"/>
        <w:ind w:left="-425" w:right="-692"/>
        <w:rPr>
          <w:rFonts w:ascii="Arial" w:eastAsia="Arial" w:hAnsi="Arial" w:cs="Arial"/>
          <w:sz w:val="24"/>
          <w:szCs w:val="24"/>
        </w:rPr>
      </w:pPr>
      <w:r w:rsidRPr="00992010">
        <w:rPr>
          <w:rFonts w:ascii="Arial" w:eastAsia="Arial" w:hAnsi="Arial" w:cs="Arial"/>
          <w:sz w:val="24"/>
          <w:szCs w:val="24"/>
        </w:rPr>
        <w:t xml:space="preserve">Concejal Noelia </w:t>
      </w:r>
      <w:proofErr w:type="spellStart"/>
      <w:r w:rsidRPr="00992010">
        <w:rPr>
          <w:rFonts w:ascii="Arial" w:eastAsia="Arial" w:hAnsi="Arial" w:cs="Arial"/>
          <w:sz w:val="24"/>
          <w:szCs w:val="24"/>
        </w:rPr>
        <w:t>Elisabet</w:t>
      </w:r>
      <w:proofErr w:type="spellEnd"/>
      <w:r w:rsidRPr="00992010">
        <w:rPr>
          <w:rFonts w:ascii="Arial" w:eastAsia="Arial" w:hAnsi="Arial" w:cs="Arial"/>
          <w:sz w:val="24"/>
          <w:szCs w:val="24"/>
        </w:rPr>
        <w:t xml:space="preserve"> Figueroa (Bloque Comunidad)</w:t>
      </w:r>
    </w:p>
    <w:p w14:paraId="432EDFF5" w14:textId="5F79813C" w:rsidR="00992010" w:rsidRPr="00992010" w:rsidRDefault="00992010" w:rsidP="00992010">
      <w:pPr>
        <w:tabs>
          <w:tab w:val="left" w:pos="2835"/>
        </w:tabs>
        <w:ind w:left="-425" w:right="-692"/>
        <w:jc w:val="center"/>
        <w:rPr>
          <w:rFonts w:ascii="Arial" w:eastAsia="Arial" w:hAnsi="Arial" w:cs="Arial"/>
          <w:sz w:val="24"/>
          <w:szCs w:val="24"/>
        </w:rPr>
      </w:pPr>
      <w:r w:rsidRPr="00992010">
        <w:rPr>
          <w:rFonts w:ascii="Arial" w:eastAsia="Arial" w:hAnsi="Arial" w:cs="Arial"/>
          <w:sz w:val="24"/>
          <w:szCs w:val="24"/>
        </w:rPr>
        <w:t>.</w:t>
      </w:r>
    </w:p>
    <w:tbl>
      <w:tblPr>
        <w:tblW w:w="8550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045"/>
        <w:gridCol w:w="2790"/>
        <w:gridCol w:w="2715"/>
      </w:tblGrid>
      <w:tr w:rsidR="00992010" w:rsidRPr="00992010" w14:paraId="76BC4A5B" w14:textId="77777777" w:rsidTr="00037218">
        <w:trPr>
          <w:trHeight w:val="285"/>
        </w:trPr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852A406" w14:textId="77777777" w:rsidR="00992010" w:rsidRPr="00992010" w:rsidRDefault="00992010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  <w:lang w:val="es-ES"/>
              </w:rPr>
            </w:pPr>
            <w:r w:rsidRPr="00992010">
              <w:rPr>
                <w:rFonts w:ascii="Arial" w:eastAsia="Arial" w:hAnsi="Arial" w:cs="Arial"/>
                <w:b/>
                <w:bCs/>
                <w:sz w:val="24"/>
                <w:szCs w:val="24"/>
                <w:lang w:val="es-ES"/>
              </w:rPr>
              <w:t>NOMBRE Y APELLIDO</w:t>
            </w:r>
          </w:p>
        </w:tc>
        <w:tc>
          <w:tcPr>
            <w:tcW w:w="27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56B7B36" w14:textId="77777777" w:rsidR="00992010" w:rsidRPr="00992010" w:rsidRDefault="00992010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  <w:lang w:val="es-ES"/>
              </w:rPr>
            </w:pPr>
            <w:r w:rsidRPr="00992010">
              <w:rPr>
                <w:rFonts w:ascii="Arial" w:eastAsia="Arial" w:hAnsi="Arial" w:cs="Arial"/>
                <w:b/>
                <w:bCs/>
                <w:sz w:val="24"/>
                <w:szCs w:val="24"/>
                <w:lang w:val="es-ES"/>
              </w:rPr>
              <w:t>FACCIÓN POLÍTICA</w:t>
            </w:r>
          </w:p>
        </w:tc>
        <w:tc>
          <w:tcPr>
            <w:tcW w:w="27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7627200" w14:textId="77777777" w:rsidR="00992010" w:rsidRPr="00992010" w:rsidRDefault="00992010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  <w:lang w:val="es-ES"/>
              </w:rPr>
            </w:pPr>
            <w:r w:rsidRPr="00992010">
              <w:rPr>
                <w:rFonts w:ascii="Arial" w:eastAsia="Arial" w:hAnsi="Arial" w:cs="Arial"/>
                <w:b/>
                <w:bCs/>
                <w:sz w:val="24"/>
                <w:szCs w:val="24"/>
                <w:lang w:val="es-ES"/>
              </w:rPr>
              <w:t>VOTO</w:t>
            </w:r>
          </w:p>
        </w:tc>
      </w:tr>
      <w:tr w:rsidR="00992010" w:rsidRPr="00992010" w14:paraId="0CA2CD39" w14:textId="77777777" w:rsidTr="00037218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07D7587" w14:textId="77777777" w:rsidR="00992010" w:rsidRPr="00992010" w:rsidRDefault="00992010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sz w:val="24"/>
                <w:szCs w:val="24"/>
                <w:lang w:val="es-ES"/>
              </w:rPr>
            </w:pPr>
            <w:r w:rsidRPr="00992010">
              <w:rPr>
                <w:rFonts w:ascii="Arial" w:eastAsia="Arial" w:hAnsi="Arial" w:cs="Arial"/>
                <w:sz w:val="24"/>
                <w:szCs w:val="24"/>
                <w:lang w:val="es-ES"/>
              </w:rPr>
              <w:t>Sebastián Raimondo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812883E" w14:textId="77777777" w:rsidR="00992010" w:rsidRPr="00992010" w:rsidRDefault="00992010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sz w:val="24"/>
                <w:szCs w:val="24"/>
                <w:lang w:val="es-ES"/>
              </w:rPr>
            </w:pPr>
            <w:r w:rsidRPr="00992010">
              <w:rPr>
                <w:rFonts w:ascii="Arial" w:eastAsia="Arial" w:hAnsi="Arial" w:cs="Arial"/>
                <w:sz w:val="24"/>
                <w:szCs w:val="24"/>
                <w:lang w:val="es-ES"/>
              </w:rPr>
              <w:t>Comunidad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A01A84F" w14:textId="352FB77F" w:rsidR="00992010" w:rsidRPr="00C66B25" w:rsidRDefault="001205A3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  <w:lang w:val="es-ES"/>
              </w:rPr>
            </w:pPr>
            <w:r w:rsidRPr="00C66B25">
              <w:rPr>
                <w:rFonts w:ascii="Arial" w:eastAsia="Arial" w:hAnsi="Arial" w:cs="Arial"/>
                <w:b/>
                <w:bCs/>
                <w:sz w:val="24"/>
                <w:szCs w:val="24"/>
                <w:lang w:val="es-ES"/>
              </w:rPr>
              <w:t>+1</w:t>
            </w:r>
          </w:p>
        </w:tc>
      </w:tr>
      <w:tr w:rsidR="00992010" w:rsidRPr="00992010" w14:paraId="5514AF34" w14:textId="77777777" w:rsidTr="00037218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CA7B41C" w14:textId="77777777" w:rsidR="00992010" w:rsidRPr="00992010" w:rsidRDefault="00992010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sz w:val="24"/>
                <w:szCs w:val="24"/>
                <w:lang w:val="es-ES"/>
              </w:rPr>
            </w:pPr>
            <w:r w:rsidRPr="00992010">
              <w:rPr>
                <w:rFonts w:ascii="Arial" w:eastAsia="Arial" w:hAnsi="Arial" w:cs="Arial"/>
                <w:sz w:val="24"/>
                <w:szCs w:val="24"/>
                <w:lang w:val="es-ES"/>
              </w:rPr>
              <w:t>María Eugenia Mesa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8B57D0D" w14:textId="77777777" w:rsidR="00992010" w:rsidRPr="00992010" w:rsidRDefault="00992010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sz w:val="24"/>
                <w:szCs w:val="24"/>
                <w:lang w:val="es-ES"/>
              </w:rPr>
            </w:pPr>
            <w:r w:rsidRPr="00992010">
              <w:rPr>
                <w:rFonts w:ascii="Arial" w:eastAsia="Arial" w:hAnsi="Arial" w:cs="Arial"/>
                <w:sz w:val="24"/>
                <w:szCs w:val="24"/>
                <w:lang w:val="es-ES"/>
              </w:rPr>
              <w:t>Amor por Angostura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58B1E42" w14:textId="3762D315" w:rsidR="00992010" w:rsidRPr="00C66B25" w:rsidRDefault="001205A3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  <w:lang w:val="es-ES"/>
              </w:rPr>
            </w:pPr>
            <w:r w:rsidRPr="00C66B25">
              <w:rPr>
                <w:rFonts w:ascii="Arial" w:eastAsia="Arial" w:hAnsi="Arial" w:cs="Arial"/>
                <w:b/>
                <w:bCs/>
                <w:sz w:val="24"/>
                <w:szCs w:val="24"/>
                <w:lang w:val="es-ES"/>
              </w:rPr>
              <w:t>+1</w:t>
            </w:r>
          </w:p>
        </w:tc>
      </w:tr>
      <w:tr w:rsidR="00992010" w:rsidRPr="00992010" w14:paraId="4E37036A" w14:textId="77777777" w:rsidTr="00037218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59246F1" w14:textId="77777777" w:rsidR="00992010" w:rsidRPr="00992010" w:rsidRDefault="00992010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sz w:val="24"/>
                <w:szCs w:val="24"/>
                <w:lang w:val="es-ES"/>
              </w:rPr>
            </w:pPr>
            <w:r w:rsidRPr="00992010">
              <w:rPr>
                <w:rFonts w:ascii="Arial" w:eastAsia="Arial" w:hAnsi="Arial" w:cs="Arial"/>
                <w:sz w:val="24"/>
                <w:szCs w:val="24"/>
                <w:lang w:val="es-ES"/>
              </w:rPr>
              <w:t xml:space="preserve">María Eugenia </w:t>
            </w:r>
            <w:proofErr w:type="spellStart"/>
            <w:r w:rsidRPr="00992010">
              <w:rPr>
                <w:rFonts w:ascii="Arial" w:eastAsia="Arial" w:hAnsi="Arial" w:cs="Arial"/>
                <w:sz w:val="24"/>
                <w:szCs w:val="24"/>
                <w:lang w:val="es-ES"/>
              </w:rPr>
              <w:t>Ceraso</w:t>
            </w:r>
            <w:proofErr w:type="spellEnd"/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7B8585B" w14:textId="77777777" w:rsidR="00992010" w:rsidRPr="00992010" w:rsidRDefault="00992010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sz w:val="24"/>
                <w:szCs w:val="24"/>
                <w:lang w:val="es-ES"/>
              </w:rPr>
            </w:pPr>
            <w:r w:rsidRPr="00992010">
              <w:rPr>
                <w:rFonts w:ascii="Arial" w:eastAsia="Arial" w:hAnsi="Arial" w:cs="Arial"/>
                <w:sz w:val="24"/>
                <w:szCs w:val="24"/>
                <w:lang w:val="es-ES"/>
              </w:rPr>
              <w:t>Primero Angostura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6225580" w14:textId="6548966E" w:rsidR="00992010" w:rsidRPr="00C66B25" w:rsidRDefault="001205A3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  <w:lang w:val="es-ES"/>
              </w:rPr>
            </w:pPr>
            <w:r w:rsidRPr="00C66B25">
              <w:rPr>
                <w:rFonts w:ascii="Arial" w:eastAsia="Arial" w:hAnsi="Arial" w:cs="Arial"/>
                <w:b/>
                <w:bCs/>
                <w:sz w:val="24"/>
                <w:szCs w:val="24"/>
                <w:lang w:val="es-ES"/>
              </w:rPr>
              <w:t>+1</w:t>
            </w:r>
          </w:p>
        </w:tc>
      </w:tr>
      <w:tr w:rsidR="00992010" w:rsidRPr="00992010" w14:paraId="140F9423" w14:textId="77777777" w:rsidTr="00037218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F8AD346" w14:textId="77777777" w:rsidR="00992010" w:rsidRPr="00992010" w:rsidRDefault="00992010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sz w:val="24"/>
                <w:szCs w:val="24"/>
                <w:lang w:val="es-ES"/>
              </w:rPr>
            </w:pPr>
            <w:r w:rsidRPr="00992010">
              <w:rPr>
                <w:rFonts w:ascii="Arial" w:eastAsia="Arial" w:hAnsi="Arial" w:cs="Arial"/>
                <w:sz w:val="24"/>
                <w:szCs w:val="24"/>
                <w:lang w:val="es-ES"/>
              </w:rPr>
              <w:t xml:space="preserve">Héctor </w:t>
            </w:r>
            <w:proofErr w:type="spellStart"/>
            <w:r w:rsidRPr="00992010">
              <w:rPr>
                <w:rFonts w:ascii="Arial" w:eastAsia="Arial" w:hAnsi="Arial" w:cs="Arial"/>
                <w:sz w:val="24"/>
                <w:szCs w:val="24"/>
                <w:lang w:val="es-ES"/>
              </w:rPr>
              <w:t>Venica</w:t>
            </w:r>
            <w:proofErr w:type="spellEnd"/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BD7EF21" w14:textId="77777777" w:rsidR="00992010" w:rsidRPr="00992010" w:rsidRDefault="00992010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sz w:val="24"/>
                <w:szCs w:val="24"/>
                <w:lang w:val="es-ES"/>
              </w:rPr>
            </w:pPr>
            <w:r w:rsidRPr="00992010">
              <w:rPr>
                <w:rFonts w:ascii="Arial" w:eastAsia="Arial" w:hAnsi="Arial" w:cs="Arial"/>
                <w:sz w:val="24"/>
                <w:szCs w:val="24"/>
                <w:lang w:val="es-ES"/>
              </w:rPr>
              <w:t>Juntos por el Cambio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5FDC8DD" w14:textId="2CBFF6F1" w:rsidR="00992010" w:rsidRPr="00C66B25" w:rsidRDefault="001205A3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  <w:lang w:val="es-ES"/>
              </w:rPr>
            </w:pPr>
            <w:r w:rsidRPr="00C66B25">
              <w:rPr>
                <w:rFonts w:ascii="Arial" w:eastAsia="Arial" w:hAnsi="Arial" w:cs="Arial"/>
                <w:b/>
                <w:bCs/>
                <w:sz w:val="24"/>
                <w:szCs w:val="24"/>
                <w:lang w:val="es-ES"/>
              </w:rPr>
              <w:t>+1</w:t>
            </w:r>
            <w:r w:rsidR="00992010" w:rsidRPr="00C66B25">
              <w:rPr>
                <w:rFonts w:ascii="Arial" w:eastAsia="Arial" w:hAnsi="Arial" w:cs="Arial"/>
                <w:b/>
                <w:bCs/>
                <w:sz w:val="24"/>
                <w:szCs w:val="24"/>
                <w:lang w:val="es-ES"/>
              </w:rPr>
              <w:t xml:space="preserve"> </w:t>
            </w:r>
          </w:p>
        </w:tc>
      </w:tr>
      <w:tr w:rsidR="00992010" w:rsidRPr="00992010" w14:paraId="39FC4DC9" w14:textId="77777777" w:rsidTr="00037218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4B2D1FD" w14:textId="77777777" w:rsidR="00992010" w:rsidRPr="00992010" w:rsidRDefault="00992010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sz w:val="24"/>
                <w:szCs w:val="24"/>
                <w:lang w:val="es-ES"/>
              </w:rPr>
            </w:pPr>
            <w:r w:rsidRPr="00992010">
              <w:rPr>
                <w:rFonts w:ascii="Arial" w:eastAsia="Arial" w:hAnsi="Arial" w:cs="Arial"/>
                <w:sz w:val="24"/>
                <w:szCs w:val="24"/>
                <w:lang w:val="es-ES"/>
              </w:rPr>
              <w:t>Lilia Estrella Vidal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B2EB77E" w14:textId="77777777" w:rsidR="00992010" w:rsidRPr="00992010" w:rsidRDefault="00992010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sz w:val="24"/>
                <w:szCs w:val="24"/>
                <w:lang w:val="es-ES"/>
              </w:rPr>
            </w:pPr>
            <w:r w:rsidRPr="00992010">
              <w:rPr>
                <w:rFonts w:ascii="Arial" w:eastAsia="Arial" w:hAnsi="Arial" w:cs="Arial"/>
                <w:sz w:val="24"/>
                <w:szCs w:val="24"/>
                <w:lang w:val="es-ES"/>
              </w:rPr>
              <w:t>Juntos por la Libertad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A423BC8" w14:textId="13F24420" w:rsidR="00992010" w:rsidRPr="00C66B25" w:rsidRDefault="001205A3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  <w:lang w:val="es-ES"/>
              </w:rPr>
            </w:pPr>
            <w:r w:rsidRPr="00C66B25">
              <w:rPr>
                <w:rFonts w:ascii="Arial" w:eastAsia="Arial" w:hAnsi="Arial" w:cs="Arial"/>
                <w:b/>
                <w:bCs/>
                <w:sz w:val="24"/>
                <w:szCs w:val="24"/>
                <w:lang w:val="es-ES"/>
              </w:rPr>
              <w:t>-1</w:t>
            </w:r>
          </w:p>
        </w:tc>
      </w:tr>
      <w:tr w:rsidR="00992010" w:rsidRPr="00992010" w14:paraId="0C09D8E6" w14:textId="77777777" w:rsidTr="00037218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F40E19A" w14:textId="77777777" w:rsidR="00992010" w:rsidRPr="00992010" w:rsidRDefault="00992010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sz w:val="24"/>
                <w:szCs w:val="24"/>
                <w:lang w:val="es-ES"/>
              </w:rPr>
            </w:pPr>
            <w:r w:rsidRPr="00992010">
              <w:rPr>
                <w:rFonts w:ascii="Arial" w:eastAsia="Arial" w:hAnsi="Arial" w:cs="Arial"/>
                <w:sz w:val="24"/>
                <w:szCs w:val="24"/>
                <w:lang w:val="es-ES"/>
              </w:rPr>
              <w:t>Tomás Alberto Andrade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71B92A9" w14:textId="77777777" w:rsidR="00992010" w:rsidRPr="00992010" w:rsidRDefault="00992010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sz w:val="24"/>
                <w:szCs w:val="24"/>
                <w:lang w:val="es-ES"/>
              </w:rPr>
            </w:pPr>
            <w:r w:rsidRPr="00992010">
              <w:rPr>
                <w:rFonts w:ascii="Arial" w:eastAsia="Arial" w:hAnsi="Arial" w:cs="Arial"/>
                <w:sz w:val="24"/>
                <w:szCs w:val="24"/>
                <w:lang w:val="es-ES"/>
              </w:rPr>
              <w:t>Avanzar Neuquén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7D61C56" w14:textId="5B71547D" w:rsidR="00992010" w:rsidRPr="00C66B25" w:rsidRDefault="001205A3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  <w:lang w:val="es-ES"/>
              </w:rPr>
            </w:pPr>
            <w:r w:rsidRPr="00C66B25">
              <w:rPr>
                <w:rFonts w:ascii="Arial" w:eastAsia="Arial" w:hAnsi="Arial" w:cs="Arial"/>
                <w:b/>
                <w:bCs/>
                <w:sz w:val="24"/>
                <w:szCs w:val="24"/>
                <w:lang w:val="es-ES"/>
              </w:rPr>
              <w:t>+1</w:t>
            </w:r>
          </w:p>
        </w:tc>
      </w:tr>
      <w:tr w:rsidR="00992010" w:rsidRPr="00992010" w14:paraId="7EA03402" w14:textId="77777777" w:rsidTr="00037218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0D2B83C" w14:textId="77777777" w:rsidR="00992010" w:rsidRPr="00992010" w:rsidRDefault="00992010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sz w:val="24"/>
                <w:szCs w:val="24"/>
                <w:lang w:val="es-ES"/>
              </w:rPr>
            </w:pPr>
            <w:r w:rsidRPr="00992010">
              <w:rPr>
                <w:rFonts w:ascii="Arial" w:eastAsia="Arial" w:hAnsi="Arial" w:cs="Arial"/>
                <w:sz w:val="24"/>
                <w:szCs w:val="24"/>
                <w:lang w:val="es-ES"/>
              </w:rPr>
              <w:t xml:space="preserve">Noelia </w:t>
            </w:r>
            <w:proofErr w:type="spellStart"/>
            <w:r w:rsidRPr="00992010">
              <w:rPr>
                <w:rFonts w:ascii="Arial" w:eastAsia="Arial" w:hAnsi="Arial" w:cs="Arial"/>
                <w:sz w:val="24"/>
                <w:szCs w:val="24"/>
                <w:lang w:val="es-ES"/>
              </w:rPr>
              <w:t>Elisabet</w:t>
            </w:r>
            <w:proofErr w:type="spellEnd"/>
            <w:r w:rsidRPr="00992010">
              <w:rPr>
                <w:rFonts w:ascii="Arial" w:eastAsia="Arial" w:hAnsi="Arial" w:cs="Arial"/>
                <w:sz w:val="24"/>
                <w:szCs w:val="24"/>
                <w:lang w:val="es-ES"/>
              </w:rPr>
              <w:t xml:space="preserve"> Figueroa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EF2B6FA" w14:textId="77777777" w:rsidR="00992010" w:rsidRPr="00992010" w:rsidRDefault="00992010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sz w:val="24"/>
                <w:szCs w:val="24"/>
                <w:lang w:val="es-ES"/>
              </w:rPr>
            </w:pPr>
            <w:r w:rsidRPr="00992010">
              <w:rPr>
                <w:rFonts w:ascii="Arial" w:eastAsia="Arial" w:hAnsi="Arial" w:cs="Arial"/>
                <w:sz w:val="24"/>
                <w:szCs w:val="24"/>
                <w:lang w:val="es-ES"/>
              </w:rPr>
              <w:t>Comunidad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062854A" w14:textId="25C3308E" w:rsidR="00992010" w:rsidRPr="00C66B25" w:rsidRDefault="001205A3" w:rsidP="00037218">
            <w:pPr>
              <w:tabs>
                <w:tab w:val="left" w:pos="2835"/>
              </w:tabs>
              <w:ind w:left="-425" w:right="-692"/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  <w:lang w:val="es-ES"/>
              </w:rPr>
            </w:pPr>
            <w:r w:rsidRPr="00C66B25">
              <w:rPr>
                <w:rFonts w:ascii="Arial" w:eastAsia="Arial" w:hAnsi="Arial" w:cs="Arial"/>
                <w:b/>
                <w:bCs/>
                <w:sz w:val="24"/>
                <w:szCs w:val="24"/>
                <w:lang w:val="es-ES"/>
              </w:rPr>
              <w:t>+1</w:t>
            </w:r>
          </w:p>
        </w:tc>
      </w:tr>
    </w:tbl>
    <w:p w14:paraId="63DF0A36" w14:textId="77777777" w:rsidR="00992010" w:rsidRPr="00992010" w:rsidRDefault="00992010" w:rsidP="00992010">
      <w:pPr>
        <w:ind w:right="-692"/>
        <w:rPr>
          <w:rFonts w:ascii="Arial" w:eastAsia="Arial" w:hAnsi="Arial" w:cs="Arial"/>
          <w:sz w:val="24"/>
          <w:szCs w:val="24"/>
        </w:rPr>
      </w:pPr>
    </w:p>
    <w:p w14:paraId="7E9796F9" w14:textId="77777777" w:rsidR="00992010" w:rsidRPr="00992010" w:rsidRDefault="00992010" w:rsidP="00992010">
      <w:pPr>
        <w:spacing w:after="0"/>
        <w:ind w:left="-425" w:right="-692"/>
        <w:rPr>
          <w:rFonts w:ascii="Arial" w:eastAsia="Arial" w:hAnsi="Arial" w:cs="Arial"/>
          <w:sz w:val="24"/>
          <w:szCs w:val="24"/>
        </w:rPr>
      </w:pPr>
      <w:r w:rsidRPr="00992010">
        <w:rPr>
          <w:rFonts w:ascii="Arial" w:eastAsia="Arial" w:hAnsi="Arial" w:cs="Arial"/>
          <w:sz w:val="24"/>
          <w:szCs w:val="24"/>
        </w:rPr>
        <w:t>Fdo. Raimondo Sebastián (</w:t>
      </w:r>
      <w:proofErr w:type="gramStart"/>
      <w:r w:rsidRPr="00992010">
        <w:rPr>
          <w:rFonts w:ascii="Arial" w:eastAsia="Arial" w:hAnsi="Arial" w:cs="Arial"/>
          <w:sz w:val="24"/>
          <w:szCs w:val="24"/>
        </w:rPr>
        <w:t>Presidente</w:t>
      </w:r>
      <w:proofErr w:type="gramEnd"/>
      <w:r w:rsidRPr="00992010">
        <w:rPr>
          <w:rFonts w:ascii="Arial" w:eastAsia="Arial" w:hAnsi="Arial" w:cs="Arial"/>
          <w:sz w:val="24"/>
          <w:szCs w:val="24"/>
        </w:rPr>
        <w:t xml:space="preserve"> CD) </w:t>
      </w:r>
      <w:r w:rsidRPr="00992010">
        <w:rPr>
          <w:rFonts w:ascii="Arial" w:eastAsia="Arial" w:hAnsi="Arial" w:cs="Arial"/>
          <w:sz w:val="24"/>
          <w:szCs w:val="24"/>
        </w:rPr>
        <w:tab/>
      </w:r>
      <w:r w:rsidRPr="00992010">
        <w:rPr>
          <w:rFonts w:ascii="Arial" w:eastAsia="Arial" w:hAnsi="Arial" w:cs="Arial"/>
          <w:sz w:val="24"/>
          <w:szCs w:val="24"/>
        </w:rPr>
        <w:tab/>
        <w:t xml:space="preserve">     </w:t>
      </w:r>
    </w:p>
    <w:p w14:paraId="1887DB1A" w14:textId="77777777" w:rsidR="00992010" w:rsidRPr="00992010" w:rsidRDefault="00992010" w:rsidP="00992010">
      <w:pPr>
        <w:spacing w:after="0"/>
        <w:ind w:left="-425" w:right="-692"/>
        <w:rPr>
          <w:rFonts w:ascii="Arial" w:eastAsia="Arial" w:hAnsi="Arial" w:cs="Arial"/>
          <w:sz w:val="24"/>
          <w:szCs w:val="24"/>
        </w:rPr>
      </w:pPr>
      <w:r w:rsidRPr="00992010">
        <w:rPr>
          <w:rFonts w:ascii="Arial" w:eastAsia="Arial" w:hAnsi="Arial" w:cs="Arial"/>
          <w:sz w:val="24"/>
          <w:szCs w:val="24"/>
        </w:rPr>
        <w:t>Jimena de los Ángeles Montero (</w:t>
      </w:r>
      <w:proofErr w:type="gramStart"/>
      <w:r w:rsidRPr="00992010">
        <w:rPr>
          <w:rFonts w:ascii="Arial" w:eastAsia="Arial" w:hAnsi="Arial" w:cs="Arial"/>
          <w:sz w:val="24"/>
          <w:szCs w:val="24"/>
        </w:rPr>
        <w:t>Secretaria</w:t>
      </w:r>
      <w:proofErr w:type="gramEnd"/>
      <w:r w:rsidRPr="00992010">
        <w:rPr>
          <w:rFonts w:ascii="Arial" w:eastAsia="Arial" w:hAnsi="Arial" w:cs="Arial"/>
          <w:sz w:val="24"/>
          <w:szCs w:val="24"/>
        </w:rPr>
        <w:t xml:space="preserve"> CD)</w:t>
      </w:r>
    </w:p>
    <w:p w14:paraId="2EED25AD" w14:textId="77777777" w:rsidR="00992010" w:rsidRDefault="00992010" w:rsidP="00992010">
      <w:pPr>
        <w:tabs>
          <w:tab w:val="left" w:pos="8760"/>
        </w:tabs>
        <w:rPr>
          <w:rFonts w:ascii="Arial" w:eastAsia="Arial" w:hAnsi="Arial" w:cs="Arial"/>
        </w:rPr>
      </w:pPr>
      <w:r w:rsidRPr="00992010">
        <w:rPr>
          <w:rFonts w:ascii="Arial" w:eastAsia="Arial" w:hAnsi="Arial" w:cs="Arial"/>
          <w:sz w:val="24"/>
          <w:szCs w:val="24"/>
        </w:rPr>
        <w:tab/>
      </w:r>
    </w:p>
    <w:p w14:paraId="5ACB1E49" w14:textId="77777777" w:rsidR="00992010" w:rsidRDefault="00992010" w:rsidP="00992010">
      <w:pPr>
        <w:rPr>
          <w:rFonts w:ascii="Arial" w:eastAsia="Arial" w:hAnsi="Arial" w:cs="Arial"/>
        </w:rPr>
      </w:pPr>
    </w:p>
    <w:p w14:paraId="3144EF6E" w14:textId="57C12CA9" w:rsidR="00C512CD" w:rsidRDefault="00C512CD">
      <w:pPr>
        <w:spacing w:after="0" w:line="240" w:lineRule="auto"/>
        <w:ind w:left="-425" w:right="-646"/>
        <w:rPr>
          <w:rFonts w:ascii="Arial" w:eastAsia="Arial" w:hAnsi="Arial" w:cs="Arial"/>
          <w:sz w:val="24"/>
          <w:szCs w:val="24"/>
        </w:rPr>
      </w:pPr>
    </w:p>
    <w:sectPr w:rsidR="00C512CD">
      <w:headerReference w:type="default" r:id="rId7"/>
      <w:footerReference w:type="default" r:id="rId8"/>
      <w:pgSz w:w="12240" w:h="20160"/>
      <w:pgMar w:top="2681" w:right="1700" w:bottom="1417" w:left="1700" w:header="1985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F4D24C" w14:textId="77777777" w:rsidR="004A250F" w:rsidRDefault="004A250F">
      <w:pPr>
        <w:spacing w:after="0" w:line="240" w:lineRule="auto"/>
      </w:pPr>
      <w:r>
        <w:separator/>
      </w:r>
    </w:p>
  </w:endnote>
  <w:endnote w:type="continuationSeparator" w:id="0">
    <w:p w14:paraId="2C45359C" w14:textId="77777777" w:rsidR="004A250F" w:rsidRDefault="004A25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0366573C-17B8-4C8F-9341-F819FE0A2A56}"/>
    <w:embedBold r:id="rId2" w:fontKey="{6431C2C2-6069-4B84-B939-5AA9148FF781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Bold r:id="rId3" w:fontKey="{6EB6E773-721B-420A-8FA3-BD59428D654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83160E7C-AC00-4D54-B448-11BA329D9272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5" w:fontKey="{8E1A3473-8823-46B2-BF6E-65CD3067D50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50493499-7607-43E4-AFD8-7CE673CE204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6786C8" w14:textId="77777777" w:rsidR="00C512CD" w:rsidRDefault="00C512CD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240" w:after="0" w:line="276" w:lineRule="auto"/>
      <w:jc w:val="center"/>
      <w:rPr>
        <w:rFonts w:ascii="Bookman Old Style" w:eastAsia="Bookman Old Style" w:hAnsi="Bookman Old Style" w:cs="Bookman Old Style"/>
        <w:color w:val="222222"/>
        <w:sz w:val="20"/>
        <w:szCs w:val="20"/>
        <w:highlight w:val="white"/>
      </w:rPr>
    </w:pPr>
  </w:p>
  <w:p w14:paraId="3876C63E" w14:textId="3119D07D" w:rsidR="00C512CD" w:rsidRDefault="004A250F" w:rsidP="004A250F">
    <w:pPr>
      <w:pBdr>
        <w:top w:val="single" w:sz="4" w:space="1" w:color="auto"/>
      </w:pBdr>
      <w:jc w:val="center"/>
    </w:pPr>
    <w:r w:rsidRPr="0096704C">
      <w:rPr>
        <w:rFonts w:ascii="Arial" w:hAnsi="Arial" w:cs="Arial"/>
        <w:color w:val="000000"/>
        <w:sz w:val="20"/>
        <w:szCs w:val="20"/>
      </w:rPr>
      <w:t>“A 50 Años de la Dictadura Cívico-Militar: Memoria, Verdad y Justicia”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8E0BF0" w14:textId="77777777" w:rsidR="004A250F" w:rsidRDefault="004A250F">
      <w:pPr>
        <w:spacing w:after="0" w:line="240" w:lineRule="auto"/>
      </w:pPr>
      <w:r>
        <w:separator/>
      </w:r>
    </w:p>
  </w:footnote>
  <w:footnote w:type="continuationSeparator" w:id="0">
    <w:p w14:paraId="107E3957" w14:textId="77777777" w:rsidR="004A250F" w:rsidRDefault="004A25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94995B" w14:textId="413A08C7" w:rsidR="00C512CD" w:rsidRDefault="004A250F">
    <w:pPr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252"/>
        <w:tab w:val="right" w:pos="8504"/>
        <w:tab w:val="left" w:pos="1005"/>
      </w:tabs>
      <w:spacing w:after="0" w:line="240" w:lineRule="auto"/>
      <w:jc w:val="center"/>
      <w:rPr>
        <w:color w:val="000000"/>
      </w:rPr>
    </w:pPr>
    <w:r>
      <w:rPr>
        <w:color w:val="000000"/>
      </w:rPr>
      <w:tab/>
    </w:r>
    <w:r>
      <w:tab/>
    </w:r>
    <w:r>
      <w:tab/>
    </w:r>
    <w:r>
      <w:br/>
    </w:r>
    <w:r w:rsidR="00F240D9" w:rsidRPr="0096113D">
      <w:rPr>
        <w:rFonts w:ascii="Arial" w:hAnsi="Arial" w:cs="Arial"/>
        <w:color w:val="000000"/>
        <w:sz w:val="20"/>
        <w:szCs w:val="20"/>
      </w:rPr>
      <w:t>“2026: 20° Aniversario de la Reforma de la Constitución de la Provincia del Neuquén”</w:t>
    </w:r>
    <w:r>
      <w:rPr>
        <w:noProof/>
      </w:rPr>
      <w:drawing>
        <wp:anchor distT="0" distB="0" distL="0" distR="0" simplePos="0" relativeHeight="251658240" behindDoc="1" locked="0" layoutInCell="1" hidden="0" allowOverlap="1" wp14:anchorId="285D291E" wp14:editId="18FF2FF4">
          <wp:simplePos x="0" y="0"/>
          <wp:positionH relativeFrom="column">
            <wp:posOffset>2067250</wp:posOffset>
          </wp:positionH>
          <wp:positionV relativeFrom="paragraph">
            <wp:posOffset>-887718</wp:posOffset>
          </wp:positionV>
          <wp:extent cx="1265535" cy="941831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65535" cy="94183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9264" behindDoc="1" locked="0" layoutInCell="1" hidden="0" allowOverlap="1" wp14:anchorId="10DF6522" wp14:editId="65377362">
          <wp:simplePos x="0" y="0"/>
          <wp:positionH relativeFrom="column">
            <wp:posOffset>2067250</wp:posOffset>
          </wp:positionH>
          <wp:positionV relativeFrom="paragraph">
            <wp:posOffset>-887718</wp:posOffset>
          </wp:positionV>
          <wp:extent cx="1265535" cy="941831"/>
          <wp:effectExtent l="0" t="0" r="0" b="0"/>
          <wp:wrapNone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65535" cy="94183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12CD"/>
    <w:rsid w:val="001205A3"/>
    <w:rsid w:val="002233BE"/>
    <w:rsid w:val="004A250F"/>
    <w:rsid w:val="00565F0F"/>
    <w:rsid w:val="008F4D15"/>
    <w:rsid w:val="00986787"/>
    <w:rsid w:val="00992010"/>
    <w:rsid w:val="00AB70E4"/>
    <w:rsid w:val="00C512CD"/>
    <w:rsid w:val="00C66B25"/>
    <w:rsid w:val="00CC6C85"/>
    <w:rsid w:val="00E43A1C"/>
    <w:rsid w:val="00F24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F4D231"/>
  <w15:docId w15:val="{E670D9DA-0F58-44FF-8B21-9946EC342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AR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spacing w:after="0" w:line="240" w:lineRule="auto"/>
      <w:jc w:val="center"/>
      <w:outlineLvl w:val="1"/>
    </w:pPr>
    <w:rPr>
      <w:rFonts w:ascii="Tahoma" w:eastAsia="Tahoma" w:hAnsi="Tahoma" w:cs="Tahoma"/>
      <w:b/>
      <w:bCs/>
      <w:sz w:val="24"/>
      <w:szCs w:val="24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Encabezado">
    <w:name w:val="header"/>
    <w:basedOn w:val="Normal"/>
    <w:link w:val="EncabezadoCar"/>
    <w:uiPriority w:val="99"/>
    <w:unhideWhenUsed/>
    <w:rsid w:val="00F240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40D9"/>
  </w:style>
  <w:style w:type="paragraph" w:styleId="Piedepgina">
    <w:name w:val="footer"/>
    <w:basedOn w:val="Normal"/>
    <w:link w:val="PiedepginaCar"/>
    <w:uiPriority w:val="99"/>
    <w:unhideWhenUsed/>
    <w:rsid w:val="00F240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40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t2vXDoM3CeWMAZGn9tXRVwNHNw==">CgMxLjAyDmguZmV3dzhxMTVyb3N0OAByITEyMER5MlZPZ0NWU05oWTV4QlgzOEJJeGtJY0RqaWNRcA==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999</Words>
  <Characters>5495</Characters>
  <Application>Microsoft Office Word</Application>
  <DocSecurity>0</DocSecurity>
  <Lines>45</Lines>
  <Paragraphs>12</Paragraphs>
  <ScaleCrop>false</ScaleCrop>
  <Company/>
  <LinksUpToDate>false</LinksUpToDate>
  <CharactersWithSpaces>6482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shcd</cp:lastModifiedBy>
  <cp:revision>13</cp:revision>
  <dcterms:created xsi:type="dcterms:W3CDTF">2026-07-08T12:08:00Z</dcterms:created>
  <dcterms:modified xsi:type="dcterms:W3CDTF">2026-07-08T15:44:00Z</dcterms:modified>
</cp:coreProperties>
</file>