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39A" w:rsidRDefault="0042339A" w:rsidP="0042339A">
      <w:pPr>
        <w:pStyle w:val="isselectedend"/>
        <w:rPr>
          <w:rStyle w:val="Textoennegrita"/>
        </w:rPr>
      </w:pPr>
    </w:p>
    <w:p w:rsidR="00C54F60" w:rsidRDefault="00C54F60" w:rsidP="00C54F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  <w:r w:rsidRPr="00C54F60">
        <w:rPr>
          <w:rFonts w:cstheme="minorHAnsi"/>
          <w:b/>
          <w:bCs/>
          <w:kern w:val="0"/>
          <w:sz w:val="24"/>
          <w:szCs w:val="24"/>
        </w:rPr>
        <w:t>NULIDAD INSALVABLE</w:t>
      </w:r>
      <w:r>
        <w:rPr>
          <w:rFonts w:cstheme="minorHAnsi"/>
          <w:b/>
          <w:bCs/>
          <w:kern w:val="0"/>
          <w:sz w:val="24"/>
          <w:szCs w:val="24"/>
        </w:rPr>
        <w:t>-ABUSO PODER POLITICO</w:t>
      </w:r>
    </w:p>
    <w:p w:rsidR="00C54F60" w:rsidRPr="00C54F60" w:rsidRDefault="00C54F60" w:rsidP="00C54F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  <w:r w:rsidRPr="00AA79F9">
        <w:rPr>
          <w:rFonts w:cstheme="minorHAnsi"/>
          <w:b/>
          <w:bCs/>
          <w:kern w:val="0"/>
          <w:sz w:val="24"/>
          <w:szCs w:val="24"/>
          <w:highlight w:val="cyan"/>
        </w:rPr>
        <w:t>ORDENANZA N° 4275/2025</w:t>
      </w:r>
      <w:r w:rsidRPr="0042339A">
        <w:rPr>
          <w:rFonts w:cstheme="minorHAnsi"/>
          <w:b/>
          <w:bCs/>
          <w:kern w:val="0"/>
          <w:sz w:val="24"/>
          <w:szCs w:val="24"/>
        </w:rPr>
        <w:t xml:space="preserve"> </w:t>
      </w:r>
      <w:r w:rsidRPr="0042339A">
        <w:rPr>
          <w:rFonts w:cstheme="minorHAnsi"/>
          <w:b/>
          <w:bCs/>
          <w:kern w:val="0"/>
          <w:sz w:val="24"/>
          <w:szCs w:val="24"/>
        </w:rPr>
        <w:t>TÍTULO: “MODIFICACIÓN DE LA ORDENANZA N°167/84 Y AMPLIACION DE USO DEL</w:t>
      </w:r>
      <w:r w:rsidRPr="0042339A">
        <w:rPr>
          <w:rFonts w:cstheme="minorHAnsi"/>
          <w:b/>
          <w:bCs/>
          <w:kern w:val="0"/>
          <w:sz w:val="24"/>
          <w:szCs w:val="24"/>
        </w:rPr>
        <w:t xml:space="preserve"> </w:t>
      </w:r>
      <w:r w:rsidRPr="0042339A">
        <w:rPr>
          <w:rFonts w:cstheme="minorHAnsi"/>
          <w:b/>
          <w:bCs/>
          <w:kern w:val="0"/>
          <w:sz w:val="24"/>
          <w:szCs w:val="24"/>
        </w:rPr>
        <w:t>LOTE NC 16-20-70-1994-00 A FINES DEPORTIVOS, RECREATIVOS Y EDUCATIVOS”.</w:t>
      </w: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  <w:r w:rsidRPr="00AA79F9">
        <w:rPr>
          <w:rFonts w:cstheme="minorHAnsi"/>
          <w:b/>
          <w:bCs/>
          <w:kern w:val="0"/>
          <w:sz w:val="24"/>
          <w:szCs w:val="24"/>
          <w:highlight w:val="cyan"/>
        </w:rPr>
        <w:t xml:space="preserve">ORDENANZA </w:t>
      </w:r>
      <w:proofErr w:type="spellStart"/>
      <w:r w:rsidRPr="00AA79F9">
        <w:rPr>
          <w:rFonts w:cstheme="minorHAnsi"/>
          <w:b/>
          <w:bCs/>
          <w:kern w:val="0"/>
          <w:sz w:val="24"/>
          <w:szCs w:val="24"/>
          <w:highlight w:val="cyan"/>
        </w:rPr>
        <w:t>Nº</w:t>
      </w:r>
      <w:proofErr w:type="spellEnd"/>
      <w:r w:rsidRPr="00AA79F9">
        <w:rPr>
          <w:rFonts w:cstheme="minorHAnsi"/>
          <w:b/>
          <w:bCs/>
          <w:kern w:val="0"/>
          <w:sz w:val="24"/>
          <w:szCs w:val="24"/>
          <w:highlight w:val="cyan"/>
        </w:rPr>
        <w:t xml:space="preserve"> 4289/2025</w:t>
      </w:r>
      <w:r w:rsidRPr="0042339A">
        <w:rPr>
          <w:rFonts w:cstheme="minorHAnsi"/>
          <w:b/>
          <w:bCs/>
          <w:kern w:val="0"/>
          <w:sz w:val="24"/>
          <w:szCs w:val="24"/>
        </w:rPr>
        <w:t>.-</w:t>
      </w:r>
      <w:r w:rsidRPr="0042339A">
        <w:rPr>
          <w:rFonts w:cstheme="minorHAnsi"/>
          <w:b/>
          <w:bCs/>
          <w:kern w:val="0"/>
          <w:sz w:val="24"/>
          <w:szCs w:val="24"/>
        </w:rPr>
        <w:t xml:space="preserve"> </w:t>
      </w:r>
      <w:r w:rsidRPr="0042339A">
        <w:rPr>
          <w:rFonts w:cstheme="minorHAnsi"/>
          <w:b/>
          <w:bCs/>
          <w:kern w:val="0"/>
          <w:sz w:val="24"/>
          <w:szCs w:val="24"/>
        </w:rPr>
        <w:t>TÍTULO: “MODIFICACIÓN DE LA AFECTACIÓN DEL INMUEBLE CON NOMENCLATURA</w:t>
      </w:r>
      <w:r w:rsidRPr="0042339A">
        <w:rPr>
          <w:rFonts w:cstheme="minorHAnsi"/>
          <w:b/>
          <w:bCs/>
          <w:kern w:val="0"/>
          <w:sz w:val="24"/>
          <w:szCs w:val="24"/>
        </w:rPr>
        <w:t xml:space="preserve"> </w:t>
      </w:r>
    </w:p>
    <w:p w:rsid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  <w:r w:rsidRPr="0042339A">
        <w:rPr>
          <w:rFonts w:cstheme="minorHAnsi"/>
          <w:b/>
          <w:bCs/>
          <w:kern w:val="0"/>
          <w:sz w:val="24"/>
          <w:szCs w:val="24"/>
        </w:rPr>
        <w:t>CATASTRAL 16-20-070-1994-0000”.</w:t>
      </w:r>
    </w:p>
    <w:p w:rsidR="00AA79F9" w:rsidRDefault="00AA79F9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</w:p>
    <w:p w:rsidR="00AA79F9" w:rsidRPr="0042339A" w:rsidRDefault="00AA79F9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  <w:r w:rsidRPr="00AA79F9">
        <w:rPr>
          <w:highlight w:val="cyan"/>
        </w:rPr>
        <w:t xml:space="preserve">ORDENANZA </w:t>
      </w:r>
      <w:proofErr w:type="spellStart"/>
      <w:r w:rsidRPr="00AA79F9">
        <w:rPr>
          <w:highlight w:val="cyan"/>
        </w:rPr>
        <w:t>Nº</w:t>
      </w:r>
      <w:proofErr w:type="spellEnd"/>
      <w:r w:rsidRPr="00AA79F9">
        <w:rPr>
          <w:highlight w:val="cyan"/>
        </w:rPr>
        <w:t xml:space="preserve"> 4325/2026.-</w:t>
      </w:r>
      <w:r>
        <w:t xml:space="preserve"> TITULO: “AUTORIZACIÓN AL DEPARTAMENTO EJECUTIVO MUNICIPAL A TRANSFERIR EL DOMINIO A FAVOR DE LA PROVINCIA DEL NEUQUÉN, CONSEJO PROVINCIAL DE EDUCACIÓN, DE LOS INMUEBLES DE TITULARIDAD DE LA MUNICIPALIDAD DE VILLA LA ANGOSTURA, IDENTIFICAD</w:t>
      </w:r>
      <w:bookmarkStart w:id="0" w:name="_GoBack"/>
      <w:bookmarkEnd w:id="0"/>
      <w:r>
        <w:t>OS COMO POLÍGONO “A”NC 16-20-070-1390 Y POLÍGONO “B” NC 16-20-072-9446, PARA LA CONSTRUCCIÓN DE LAS ESCUELAS N° 361 Y LA ESCUELA PROVINCIAL DE EDUCACIÓN TÉCNICA N° 28</w:t>
      </w: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2339A">
        <w:rPr>
          <w:rFonts w:cstheme="minorHAnsi"/>
          <w:sz w:val="24"/>
          <w:szCs w:val="24"/>
        </w:rPr>
        <w:t xml:space="preserve">1) mensura = Espacio Verde; </w:t>
      </w:r>
      <w:r w:rsidR="00C54F60" w:rsidRPr="00C54F60">
        <w:rPr>
          <w:rFonts w:cstheme="minorHAnsi"/>
          <w:b/>
          <w:sz w:val="24"/>
          <w:szCs w:val="24"/>
        </w:rPr>
        <w:t>Catastro y RPI</w:t>
      </w: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2339A">
        <w:rPr>
          <w:rFonts w:cstheme="minorHAnsi"/>
          <w:sz w:val="24"/>
          <w:szCs w:val="24"/>
        </w:rPr>
        <w:t xml:space="preserve">2) COM = intangibilidad absoluta; </w:t>
      </w:r>
      <w:r w:rsidR="00C54F60" w:rsidRPr="00C54F60">
        <w:rPr>
          <w:rFonts w:cstheme="minorHAnsi"/>
          <w:b/>
          <w:sz w:val="24"/>
          <w:szCs w:val="24"/>
        </w:rPr>
        <w:t>RANGO CONSITUCIONAL</w:t>
      </w: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2339A">
        <w:rPr>
          <w:rFonts w:cstheme="minorHAnsi"/>
          <w:sz w:val="24"/>
          <w:szCs w:val="24"/>
        </w:rPr>
        <w:t xml:space="preserve">3) 4289 = desafectación expresa; </w:t>
      </w: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2339A">
        <w:rPr>
          <w:rFonts w:cstheme="minorHAnsi"/>
          <w:sz w:val="24"/>
          <w:szCs w:val="24"/>
        </w:rPr>
        <w:t xml:space="preserve">4) una ordenanza inferior no puede neutralizar la COM; </w:t>
      </w: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2339A">
        <w:rPr>
          <w:rFonts w:cstheme="minorHAnsi"/>
          <w:sz w:val="24"/>
          <w:szCs w:val="24"/>
        </w:rPr>
        <w:t xml:space="preserve">5) irregularidades procedimentales; </w:t>
      </w: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  <w:r w:rsidRPr="0042339A">
        <w:rPr>
          <w:rFonts w:cstheme="minorHAnsi"/>
          <w:sz w:val="24"/>
          <w:szCs w:val="24"/>
        </w:rPr>
        <w:t>6) conocimiento previo y eventual responsabilidad de funcionarios.</w:t>
      </w: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Style w:val="Textoennegrita"/>
          <w:rFonts w:cstheme="minorHAnsi"/>
          <w:sz w:val="24"/>
          <w:szCs w:val="24"/>
        </w:rPr>
      </w:pP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Style w:val="Textoennegrita"/>
          <w:rFonts w:cstheme="minorHAnsi"/>
          <w:sz w:val="24"/>
          <w:szCs w:val="24"/>
        </w:rPr>
      </w:pPr>
    </w:p>
    <w:p w:rsidR="0042339A" w:rsidRPr="0042339A" w:rsidRDefault="0042339A" w:rsidP="004233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2339A">
        <w:rPr>
          <w:rStyle w:val="Textoennegrita"/>
          <w:rFonts w:cstheme="minorHAnsi"/>
          <w:sz w:val="24"/>
          <w:szCs w:val="24"/>
        </w:rPr>
        <w:t>EL INMUEBLE ERA Y CONTINÚA SIENDO JURÍDICAMENTE UN ESPACIO VERDE.</w:t>
      </w:r>
    </w:p>
    <w:p w:rsidR="0042339A" w:rsidRPr="0042339A" w:rsidRDefault="0042339A" w:rsidP="0042339A">
      <w:pPr>
        <w:pStyle w:val="isselectedend"/>
        <w:jc w:val="both"/>
        <w:rPr>
          <w:rFonts w:asciiTheme="minorHAnsi" w:hAnsiTheme="minorHAnsi" w:cstheme="minorHAnsi"/>
        </w:rPr>
      </w:pPr>
      <w:r w:rsidRPr="0042339A">
        <w:rPr>
          <w:rFonts w:asciiTheme="minorHAnsi" w:hAnsiTheme="minorHAnsi" w:cstheme="minorHAnsi"/>
        </w:rPr>
        <w:t>La mensura originaria, el expediente de fraccionamiento, los registros de Catastro municipal y provincial, las sucesivas ordenanzas urbanísticas, los antecedentes municipales y el uso histórico del inmueble deben ser interpretados conjuntamente para reconstruir su estatuto jurídico.</w:t>
      </w:r>
    </w:p>
    <w:p w:rsidR="0042339A" w:rsidRDefault="0042339A" w:rsidP="00AA79F9">
      <w:pPr>
        <w:pStyle w:val="isselectedend"/>
        <w:jc w:val="both"/>
        <w:rPr>
          <w:rStyle w:val="Textoennegrita"/>
          <w:rFonts w:asciiTheme="minorHAnsi" w:hAnsiTheme="minorHAnsi" w:cstheme="minorHAnsi"/>
        </w:rPr>
      </w:pPr>
      <w:r w:rsidRPr="0042339A">
        <w:rPr>
          <w:rStyle w:val="Textoennegrita"/>
          <w:rFonts w:asciiTheme="minorHAnsi" w:hAnsiTheme="minorHAnsi" w:cstheme="minorHAnsi"/>
        </w:rPr>
        <w:t>Espacio Verde + artículo 95 inciso 48 de la Carta Orgánica = imposibilidad jurídica de desafectación.</w:t>
      </w:r>
    </w:p>
    <w:p w:rsidR="00AA79F9" w:rsidRDefault="00AA79F9" w:rsidP="00AA79F9">
      <w:pPr>
        <w:pStyle w:val="isselectedend"/>
        <w:jc w:val="both"/>
      </w:pPr>
      <w:r>
        <w:rPr>
          <w:rStyle w:val="Textoennegrita"/>
        </w:rPr>
        <w:t>CARTA ORGÁNICA:</w:t>
      </w:r>
      <w:r>
        <w:t xml:space="preserve"> el Espacio Verde “no puede ser desafectado bajo ninguna circunstancia”.</w:t>
      </w:r>
    </w:p>
    <w:p w:rsidR="00AA79F9" w:rsidRDefault="00AA79F9" w:rsidP="00AA79F9">
      <w:pPr>
        <w:pStyle w:val="isselectedend"/>
        <w:jc w:val="both"/>
      </w:pPr>
      <w:proofErr w:type="spellStart"/>
      <w:r>
        <w:rPr>
          <w:rStyle w:val="Textoennegrita"/>
        </w:rPr>
        <w:t>Codigo</w:t>
      </w:r>
      <w:proofErr w:type="spellEnd"/>
      <w:r>
        <w:rPr>
          <w:rStyle w:val="Textoennegrita"/>
        </w:rPr>
        <w:t xml:space="preserve"> Urbano 2659 </w:t>
      </w:r>
      <w:r>
        <w:rPr>
          <w:rStyle w:val="Textoennegrita"/>
        </w:rPr>
        <w:t>ORDENANZA 4289/25:</w:t>
      </w:r>
      <w:r>
        <w:t xml:space="preserve"> “</w:t>
      </w:r>
      <w:r>
        <w:t>desafectase</w:t>
      </w:r>
      <w:r>
        <w:t xml:space="preserve"> del Dominio Público Municipal” el inmueble.</w:t>
      </w:r>
    </w:p>
    <w:p w:rsidR="00AA79F9" w:rsidRDefault="00AA79F9" w:rsidP="00AA79F9">
      <w:pPr>
        <w:pStyle w:val="NormalWeb"/>
        <w:jc w:val="both"/>
      </w:pPr>
      <w:r>
        <w:t>No existe aquí una cuestión interpretativa compleja.</w:t>
      </w:r>
    </w:p>
    <w:p w:rsidR="0042339A" w:rsidRPr="0042339A" w:rsidRDefault="0042339A" w:rsidP="00AA79F9">
      <w:pPr>
        <w:pStyle w:val="NormalWeb"/>
        <w:jc w:val="both"/>
        <w:rPr>
          <w:rFonts w:asciiTheme="minorHAnsi" w:hAnsiTheme="minorHAnsi" w:cstheme="minorHAnsi"/>
        </w:rPr>
      </w:pPr>
      <w:r w:rsidRPr="0042339A">
        <w:rPr>
          <w:rFonts w:asciiTheme="minorHAnsi" w:hAnsiTheme="minorHAnsi" w:cstheme="minorHAnsi"/>
        </w:rPr>
        <w:t>La Ordenanza N.º 2475/25, por su inferior jerarquía normativa, no puede excepcionar, modificar ni dejar sin efecto la prohibición establecida por la Carta Orgánica.</w:t>
      </w:r>
    </w:p>
    <w:p w:rsidR="00DF48E4" w:rsidRDefault="00DF48E4"/>
    <w:sectPr w:rsidR="00DF48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9A"/>
    <w:rsid w:val="00215372"/>
    <w:rsid w:val="003C3149"/>
    <w:rsid w:val="0042339A"/>
    <w:rsid w:val="00947459"/>
    <w:rsid w:val="00AA79F9"/>
    <w:rsid w:val="00C54F60"/>
    <w:rsid w:val="00D879EA"/>
    <w:rsid w:val="00DF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C8B93"/>
  <w15:chartTrackingRefBased/>
  <w15:docId w15:val="{8CF7A037-B9DA-4348-9380-D13293BC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423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  <w:style w:type="character" w:styleId="Textoennegrita">
    <w:name w:val="Strong"/>
    <w:basedOn w:val="Fuentedeprrafopredeter"/>
    <w:uiPriority w:val="22"/>
    <w:qFormat/>
    <w:rsid w:val="004233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23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3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294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Guillermo HENSEL</dc:creator>
  <cp:keywords/>
  <dc:description/>
  <cp:lastModifiedBy>Dr. Guillermo HENSEL</cp:lastModifiedBy>
  <cp:revision>2</cp:revision>
  <cp:lastPrinted>2026-09-17T11:51:00Z</cp:lastPrinted>
  <dcterms:created xsi:type="dcterms:W3CDTF">2026-09-17T11:02:00Z</dcterms:created>
  <dcterms:modified xsi:type="dcterms:W3CDTF">2026-09-17T19:52:00Z</dcterms:modified>
</cp:coreProperties>
</file>