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AD868" w14:textId="77777777" w:rsidR="00760340" w:rsidRDefault="00760340">
      <w:pPr>
        <w:spacing w:after="280" w:line="240" w:lineRule="auto"/>
        <w:jc w:val="right"/>
        <w:rPr>
          <w:rFonts w:ascii="Arial" w:eastAsia="Arial" w:hAnsi="Arial" w:cs="Arial"/>
          <w:b/>
          <w:bCs/>
        </w:rPr>
      </w:pPr>
    </w:p>
    <w:p w14:paraId="434CE8F8" w14:textId="32794EFA" w:rsidR="00760340" w:rsidRDefault="004E6F15">
      <w:pPr>
        <w:spacing w:after="280" w:line="240" w:lineRule="auto"/>
        <w:jc w:val="right"/>
        <w:rPr>
          <w:rFonts w:ascii="Arial" w:eastAsia="Arial" w:hAnsi="Arial" w:cs="Arial"/>
          <w:b/>
          <w:bCs/>
        </w:rPr>
      </w:pPr>
      <w:r>
        <w:rPr>
          <w:rFonts w:ascii="Arial" w:eastAsia="Arial" w:hAnsi="Arial" w:cs="Arial"/>
          <w:b/>
          <w:bCs/>
        </w:rPr>
        <w:t xml:space="preserve">ORDENANZA N.º </w:t>
      </w:r>
      <w:r w:rsidR="000F35DF">
        <w:rPr>
          <w:rFonts w:ascii="Arial" w:eastAsia="Arial" w:hAnsi="Arial" w:cs="Arial"/>
          <w:b/>
          <w:bCs/>
        </w:rPr>
        <w:t>4441</w:t>
      </w:r>
      <w:r>
        <w:rPr>
          <w:rFonts w:ascii="Arial" w:eastAsia="Arial" w:hAnsi="Arial" w:cs="Arial"/>
          <w:b/>
          <w:bCs/>
        </w:rPr>
        <w:t>/2026</w:t>
      </w:r>
    </w:p>
    <w:p w14:paraId="78924E1A" w14:textId="55F37522" w:rsidR="00760340" w:rsidRDefault="004E6F15">
      <w:pPr>
        <w:pBdr>
          <w:top w:val="single" w:sz="18" w:space="1" w:color="000000"/>
          <w:left w:val="single" w:sz="18" w:space="4" w:color="000000"/>
          <w:bottom w:val="single" w:sz="18" w:space="1" w:color="000000"/>
          <w:right w:val="single" w:sz="18" w:space="4" w:color="000000"/>
        </w:pBdr>
        <w:spacing w:after="280" w:line="240" w:lineRule="auto"/>
        <w:jc w:val="center"/>
        <w:rPr>
          <w:rFonts w:ascii="Arial" w:eastAsia="Arial" w:hAnsi="Arial" w:cs="Arial"/>
          <w:b/>
          <w:bCs/>
        </w:rPr>
      </w:pPr>
      <w:r>
        <w:rPr>
          <w:rFonts w:ascii="Arial" w:eastAsia="Arial" w:hAnsi="Arial" w:cs="Arial"/>
          <w:b/>
          <w:bCs/>
        </w:rPr>
        <w:t>TÍTULO: “MODIFICACIÓN DEL CÓDIGO DE EDIFICACIÓN – ORDENANZA N.º 1415/03 Y SUS MODIFICATORIAS N.º 1458/04, N.º 2167/08 Y N.º 3302/17 – RÉGIMEN DE ACREDITACIÓN DE TITULARIDAD Y LEGITIMACIÓN PARA LA PRESENTACIÓN DE TRÁMITES ANTE LA DIRECCIÓN DE OBRAS PARTICULARES”</w:t>
      </w:r>
      <w:r w:rsidR="000F35DF">
        <w:rPr>
          <w:rFonts w:ascii="Arial" w:eastAsia="Arial" w:hAnsi="Arial" w:cs="Arial"/>
          <w:b/>
          <w:bCs/>
        </w:rPr>
        <w:t>.-</w:t>
      </w:r>
    </w:p>
    <w:p w14:paraId="1FCB3DBF" w14:textId="77777777" w:rsidR="00760340" w:rsidRDefault="004E6F15">
      <w:pPr>
        <w:spacing w:after="280" w:line="240" w:lineRule="auto"/>
        <w:rPr>
          <w:rFonts w:ascii="Arial" w:eastAsia="Arial" w:hAnsi="Arial" w:cs="Arial"/>
          <w:b/>
          <w:bCs/>
        </w:rPr>
      </w:pPr>
      <w:r>
        <w:rPr>
          <w:rFonts w:ascii="Arial" w:eastAsia="Arial" w:hAnsi="Arial" w:cs="Arial"/>
          <w:b/>
          <w:bCs/>
        </w:rPr>
        <w:t>VISTO:</w:t>
      </w:r>
    </w:p>
    <w:p w14:paraId="530C9D6E" w14:textId="77777777" w:rsidR="00760340" w:rsidRDefault="004E6F15">
      <w:pPr>
        <w:spacing w:before="280" w:after="280" w:line="240" w:lineRule="auto"/>
        <w:ind w:firstLine="992"/>
        <w:jc w:val="both"/>
        <w:rPr>
          <w:rFonts w:ascii="Arial" w:eastAsia="Arial" w:hAnsi="Arial" w:cs="Arial"/>
          <w:b/>
          <w:bCs/>
        </w:rPr>
      </w:pPr>
      <w:r>
        <w:rPr>
          <w:rFonts w:ascii="Arial" w:eastAsia="Arial" w:hAnsi="Arial" w:cs="Arial"/>
        </w:rPr>
        <w:t>El Expediente N°11-P-2026; la Ordenanza N.º 1415/03 –Código de Edificación de la Municipalidad de Villa La Angostura–; las Ordenanzas N.º 1458/04, N.º 2167/08 y N.º 3302/17, modificatorias del citado Código; y</w:t>
      </w:r>
    </w:p>
    <w:p w14:paraId="26006505" w14:textId="77777777" w:rsidR="00760340" w:rsidRDefault="004E6F15">
      <w:pPr>
        <w:spacing w:before="280" w:after="280" w:line="240" w:lineRule="auto"/>
        <w:jc w:val="both"/>
        <w:rPr>
          <w:rFonts w:ascii="Arial" w:eastAsia="Arial" w:hAnsi="Arial" w:cs="Arial"/>
          <w:b/>
          <w:bCs/>
        </w:rPr>
      </w:pPr>
      <w:r>
        <w:rPr>
          <w:rFonts w:ascii="Arial" w:eastAsia="Arial" w:hAnsi="Arial" w:cs="Arial"/>
          <w:b/>
          <w:bCs/>
        </w:rPr>
        <w:t>CONSIDERANDO:</w:t>
      </w:r>
    </w:p>
    <w:p w14:paraId="78304568" w14:textId="77777777" w:rsidR="00760340" w:rsidRDefault="004E6F15">
      <w:pPr>
        <w:spacing w:before="280" w:after="280" w:line="240" w:lineRule="auto"/>
        <w:ind w:firstLine="2125"/>
        <w:jc w:val="both"/>
        <w:rPr>
          <w:rFonts w:ascii="Arial" w:eastAsia="Arial" w:hAnsi="Arial" w:cs="Arial"/>
        </w:rPr>
      </w:pPr>
      <w:r>
        <w:rPr>
          <w:rFonts w:ascii="Arial" w:eastAsia="Arial" w:hAnsi="Arial" w:cs="Arial"/>
        </w:rPr>
        <w:t>Que, la Ordenanza N.º 1415/03 aprobó el Código de Edificación de la Municipalidad de Villa La Angostura, estableciendo el régimen general aplicable a la presentación y tramitación de proyectos ante la Dirección de Obras Particulares;</w:t>
      </w:r>
    </w:p>
    <w:p w14:paraId="6EE3A9C1" w14:textId="77777777" w:rsidR="00760340" w:rsidRDefault="004E6F15">
      <w:pPr>
        <w:spacing w:before="280" w:after="280" w:line="240" w:lineRule="auto"/>
        <w:ind w:firstLine="2125"/>
        <w:jc w:val="both"/>
        <w:rPr>
          <w:rFonts w:ascii="Arial" w:eastAsia="Arial" w:hAnsi="Arial" w:cs="Arial"/>
        </w:rPr>
      </w:pPr>
      <w:r>
        <w:rPr>
          <w:rFonts w:ascii="Arial" w:eastAsia="Arial" w:hAnsi="Arial" w:cs="Arial"/>
        </w:rPr>
        <w:t xml:space="preserve">Que, la Ordenanza N.º 1458/04 introdujo modificaciones a distintos puntos del Código de Edificación, entre ellos los puntos 3.4 “Proyecto para Visado Previo” y 3.5 “Proyecto para Aprobación”, reorganizando y precisando los requisitos administrativos, técnicos y documentales exigibles para la tramitación de proyectos; </w:t>
      </w:r>
    </w:p>
    <w:p w14:paraId="2EF43E6F" w14:textId="77777777" w:rsidR="00760340" w:rsidRDefault="004E6F15">
      <w:pPr>
        <w:spacing w:before="280" w:after="280" w:line="240" w:lineRule="auto"/>
        <w:ind w:firstLine="2125"/>
        <w:jc w:val="both"/>
        <w:rPr>
          <w:rFonts w:ascii="Arial" w:eastAsia="Arial" w:hAnsi="Arial" w:cs="Arial"/>
        </w:rPr>
      </w:pPr>
      <w:r>
        <w:rPr>
          <w:rFonts w:ascii="Arial" w:eastAsia="Arial" w:hAnsi="Arial" w:cs="Arial"/>
        </w:rPr>
        <w:t>Que, en materia de acreditación de titularidad, dicha norma mantuvo como principio la acreditación mediante escritura, contemplando asimismo los supuestos de escritura en trámite y sucesión;</w:t>
      </w:r>
    </w:p>
    <w:p w14:paraId="6B0C02C3" w14:textId="77777777" w:rsidR="00760340" w:rsidRDefault="004E6F15">
      <w:pPr>
        <w:spacing w:before="280" w:after="280" w:line="240" w:lineRule="auto"/>
        <w:ind w:firstLine="2125"/>
        <w:jc w:val="both"/>
        <w:rPr>
          <w:rFonts w:ascii="Arial" w:eastAsia="Arial" w:hAnsi="Arial" w:cs="Arial"/>
        </w:rPr>
      </w:pPr>
      <w:r>
        <w:rPr>
          <w:rFonts w:ascii="Arial" w:eastAsia="Arial" w:hAnsi="Arial" w:cs="Arial"/>
        </w:rPr>
        <w:t>Que, posteriormente la Ordenanza N.º 2167/08 modificó específicamente el punto 3.4.2 del Código de Edificación, ampliando los instrumentos admitidos para acreditar la titularidad del inmueble;</w:t>
      </w:r>
    </w:p>
    <w:p w14:paraId="46D2D5E5" w14:textId="77777777" w:rsidR="00760340" w:rsidRDefault="004E6F15">
      <w:pPr>
        <w:spacing w:before="280" w:after="280" w:line="240" w:lineRule="auto"/>
        <w:ind w:firstLine="2125"/>
        <w:jc w:val="both"/>
        <w:rPr>
          <w:rFonts w:ascii="Arial" w:eastAsia="Arial" w:hAnsi="Arial" w:cs="Arial"/>
        </w:rPr>
      </w:pPr>
      <w:r>
        <w:rPr>
          <w:rFonts w:ascii="Arial" w:eastAsia="Arial" w:hAnsi="Arial" w:cs="Arial"/>
        </w:rPr>
        <w:t xml:space="preserve">Que, la Ordenanza N.º 3302/17 incorporó y reprodujo dicho régimen dentro del punto 3.4 “Proyecto para Visado Previo” del Código de Edificación, incorporando asimismo otros requisitos técnicos, ambientales y documentales vinculados con la evaluación de los proyectos, los cuales no constituyen objeto de modificación de la presente Ordenanza; </w:t>
      </w:r>
    </w:p>
    <w:p w14:paraId="21649121" w14:textId="77777777" w:rsidR="00760340" w:rsidRDefault="004E6F15">
      <w:pPr>
        <w:spacing w:before="280" w:after="280" w:line="240" w:lineRule="auto"/>
        <w:ind w:firstLine="2125"/>
        <w:jc w:val="both"/>
        <w:rPr>
          <w:rFonts w:ascii="Arial" w:eastAsia="Arial" w:hAnsi="Arial" w:cs="Arial"/>
        </w:rPr>
      </w:pPr>
      <w:r>
        <w:rPr>
          <w:rFonts w:ascii="Arial" w:eastAsia="Arial" w:hAnsi="Arial" w:cs="Arial"/>
        </w:rPr>
        <w:t xml:space="preserve">Que, la experiencia recogida a partir de la aplicación del régimen ampliado de acreditación de titularidad ha evidenciado, en la práctica administrativa, criterios disímiles, complejidad operativa y situaciones de incertidumbre jurídica en la tramitación de expedientes ante la Dirección de Obras Particulares; </w:t>
      </w:r>
    </w:p>
    <w:p w14:paraId="2A2057C9" w14:textId="77777777" w:rsidR="00760340" w:rsidRDefault="004E6F15">
      <w:pPr>
        <w:spacing w:before="280" w:after="280" w:line="240" w:lineRule="auto"/>
        <w:ind w:firstLine="2125"/>
        <w:jc w:val="both"/>
        <w:rPr>
          <w:rFonts w:ascii="Arial" w:eastAsia="Arial" w:hAnsi="Arial" w:cs="Arial"/>
        </w:rPr>
      </w:pPr>
      <w:r>
        <w:rPr>
          <w:rFonts w:ascii="Arial" w:eastAsia="Arial" w:hAnsi="Arial" w:cs="Arial"/>
        </w:rPr>
        <w:t>Que, una de las principales dificultades observadas se vincula con la posibilidad de iniciar trámites administrativos y avanzar en el desarrollo y evaluación de proyectos sobre inmuebles respecto de los cuales el solicitante no posee titularidad dominial inscripta ni mantiene necesariamente una vinculación directa con quien reviste el carácter de titular dominial registral;</w:t>
      </w:r>
    </w:p>
    <w:p w14:paraId="35D487B9" w14:textId="77777777" w:rsidR="00760340" w:rsidRDefault="004E6F15">
      <w:pPr>
        <w:spacing w:before="280" w:after="280" w:line="240" w:lineRule="auto"/>
        <w:ind w:firstLine="2125"/>
        <w:jc w:val="both"/>
        <w:rPr>
          <w:rFonts w:ascii="Arial" w:eastAsia="Arial" w:hAnsi="Arial" w:cs="Arial"/>
        </w:rPr>
      </w:pPr>
      <w:r>
        <w:rPr>
          <w:rFonts w:ascii="Arial" w:eastAsia="Arial" w:hAnsi="Arial" w:cs="Arial"/>
        </w:rPr>
        <w:lastRenderedPageBreak/>
        <w:t>Que, particularmente, la admisión de boletos de compraventa, cesiones de derechos y otros instrumentos privados sin exigir una vinculación directa y verificable con el titular dominial inscripto puede dar lugar a cadenas sucesivas de transmisiones contractuales, dificultando a la Administración determinar con suficiente certeza la legitimación de quien pretende promover un proyecto sobre el inmueble;</w:t>
      </w:r>
    </w:p>
    <w:p w14:paraId="3567858C" w14:textId="77777777" w:rsidR="00760340" w:rsidRDefault="004E6F15">
      <w:pPr>
        <w:spacing w:before="280" w:after="280" w:line="240" w:lineRule="auto"/>
        <w:ind w:firstLine="2125"/>
        <w:jc w:val="both"/>
        <w:rPr>
          <w:rFonts w:ascii="Arial" w:eastAsia="Arial" w:hAnsi="Arial" w:cs="Arial"/>
        </w:rPr>
      </w:pPr>
      <w:r>
        <w:rPr>
          <w:rFonts w:ascii="Arial" w:eastAsia="Arial" w:hAnsi="Arial" w:cs="Arial"/>
        </w:rPr>
        <w:t>Que, tales situaciones pueden dar lugar a la generación de expectativas o aparentes derechos derivados de la tramitación o aprobación municipal de un proyecto, aun cuando quien promueve el trámite no cuente con la correspondiente titularidad dominial, circunstancia cuya prevención resulta especialmente relevante considerando que la intervención municipal sobre un proyecto tiene naturaleza administrativa y no constituye reconocimiento de derechos reales sobre el inmueble;</w:t>
      </w:r>
    </w:p>
    <w:p w14:paraId="5F7B0E52" w14:textId="77777777" w:rsidR="00760340" w:rsidRDefault="004E6F15">
      <w:pPr>
        <w:spacing w:before="280" w:after="280" w:line="240" w:lineRule="auto"/>
        <w:ind w:firstLine="2125"/>
        <w:jc w:val="both"/>
        <w:rPr>
          <w:rFonts w:ascii="Arial" w:eastAsia="Arial" w:hAnsi="Arial" w:cs="Arial"/>
        </w:rPr>
      </w:pPr>
      <w:r>
        <w:rPr>
          <w:rFonts w:ascii="Arial" w:eastAsia="Arial" w:hAnsi="Arial" w:cs="Arial"/>
        </w:rPr>
        <w:t>Que, asimismo, la existencia de proyectos visados o aprobados puede incorporarse como elemento de valoración en operaciones vinculadas al mercado inmobiliario, generando expectativas respecto de las posibilidades de desarrollo del inmueble que pueden ser posteriormente transmitidas junto con operaciones contractuales que no se encuentran respaldadas por la correspondiente titularidad dominial;</w:t>
      </w:r>
    </w:p>
    <w:p w14:paraId="0EE13E0D" w14:textId="77777777" w:rsidR="00760340" w:rsidRDefault="004E6F15">
      <w:pPr>
        <w:spacing w:before="280" w:after="280" w:line="240" w:lineRule="auto"/>
        <w:ind w:firstLine="2125"/>
        <w:jc w:val="both"/>
        <w:rPr>
          <w:rFonts w:ascii="Arial" w:eastAsia="Arial" w:hAnsi="Arial" w:cs="Arial"/>
        </w:rPr>
      </w:pPr>
      <w:r>
        <w:rPr>
          <w:rFonts w:ascii="Arial" w:eastAsia="Arial" w:hAnsi="Arial" w:cs="Arial"/>
        </w:rPr>
        <w:t>Que, dichas situaciones pueden resultar potencialmente perjudiciales para las personas involucradas en tales operaciones, generar conflictos posteriores respecto de la posibilidad efectiva de disponer o intervenir sobre el inmueble y afectar la seguridad jurídica que debe procurarse en la actuación administrativa municipal;</w:t>
      </w:r>
    </w:p>
    <w:p w14:paraId="72163F87" w14:textId="77777777" w:rsidR="00760340" w:rsidRDefault="004E6F15">
      <w:pPr>
        <w:spacing w:before="280" w:after="280" w:line="240" w:lineRule="auto"/>
        <w:ind w:firstLine="2125"/>
        <w:jc w:val="both"/>
        <w:rPr>
          <w:rFonts w:ascii="Arial" w:eastAsia="Arial" w:hAnsi="Arial" w:cs="Arial"/>
        </w:rPr>
      </w:pPr>
      <w:r>
        <w:rPr>
          <w:rFonts w:ascii="Arial" w:eastAsia="Arial" w:hAnsi="Arial" w:cs="Arial"/>
        </w:rPr>
        <w:t>Que, resulta, por ello, necesario establecer un marco normativo claro, objetivo y previsible que permita identificar inequívocamente quién se encuentra legitimado para promover ante el Municipio un trámite respecto de un inmueble determinado;</w:t>
      </w:r>
    </w:p>
    <w:p w14:paraId="5A9010D5" w14:textId="77777777" w:rsidR="00760340" w:rsidRDefault="004E6F15">
      <w:pPr>
        <w:spacing w:before="280" w:after="280" w:line="240" w:lineRule="auto"/>
        <w:ind w:firstLine="2125"/>
        <w:jc w:val="both"/>
        <w:rPr>
          <w:rFonts w:ascii="Arial" w:eastAsia="Arial" w:hAnsi="Arial" w:cs="Arial"/>
        </w:rPr>
      </w:pPr>
      <w:r>
        <w:rPr>
          <w:rFonts w:ascii="Arial" w:eastAsia="Arial" w:hAnsi="Arial" w:cs="Arial"/>
        </w:rPr>
        <w:t>Que, la finalidad perseguida no consiste en desconocer la existencia o validez que pudieran tener entre particulares los distintos instrumentos jurídicos admitidos por el ordenamiento vigente, sino en determinar cuáles de ellos resultan suficientes, a los exclusivos efectos administrativos municipales, para legitimar la presentación y tramitación de proyectos ante la Dirección de Obras Particulares;</w:t>
      </w:r>
    </w:p>
    <w:p w14:paraId="63E29FB5" w14:textId="77777777" w:rsidR="00760340" w:rsidRDefault="004E6F15">
      <w:pPr>
        <w:spacing w:before="280" w:after="280" w:line="240" w:lineRule="auto"/>
        <w:ind w:firstLine="2125"/>
        <w:jc w:val="both"/>
        <w:rPr>
          <w:rFonts w:ascii="Arial" w:eastAsia="Arial" w:hAnsi="Arial" w:cs="Arial"/>
        </w:rPr>
      </w:pPr>
      <w:r>
        <w:rPr>
          <w:rFonts w:ascii="Arial" w:eastAsia="Arial" w:hAnsi="Arial" w:cs="Arial"/>
        </w:rPr>
        <w:t>Que, en este sentido, resulta conveniente establecer como principio general una relación directa entre quien promueve el trámite y la titularidad dominial del inmueble, contemplando de manera expresa y taxativa aquellos supuestos que resulten suficientes para acreditar dicha legitimación a los fines administrativos municipales;</w:t>
      </w:r>
    </w:p>
    <w:p w14:paraId="0815C4EA" w14:textId="77777777" w:rsidR="00760340" w:rsidRDefault="004E6F15">
      <w:pPr>
        <w:spacing w:before="280" w:after="280" w:line="240" w:lineRule="auto"/>
        <w:ind w:firstLine="2125"/>
        <w:jc w:val="both"/>
        <w:rPr>
          <w:rFonts w:ascii="Arial" w:eastAsia="Arial" w:hAnsi="Arial" w:cs="Arial"/>
        </w:rPr>
      </w:pPr>
      <w:r>
        <w:rPr>
          <w:rFonts w:ascii="Arial" w:eastAsia="Arial" w:hAnsi="Arial" w:cs="Arial"/>
        </w:rPr>
        <w:t>Que, respecto de los boletos de compraventa, se considera pertinente mantener su admisión únicamente cuando hayan sido celebrados directamente entre el solicitante, en carácter de comprador, y el titular dominial inscripto en el Registro de la Propiedad Inmueble, en carácter de vendedor, con las firmas de ambas partes debidamente certificadas por Escribano Público y encontrándose cumplidas las obligaciones fiscales correspondientes al instrumento, incluido el sellado ante el organismo fiscal competente;</w:t>
      </w:r>
    </w:p>
    <w:p w14:paraId="462FF689" w14:textId="77777777" w:rsidR="00760340" w:rsidRDefault="004E6F15">
      <w:pPr>
        <w:spacing w:before="280" w:after="280" w:line="240" w:lineRule="auto"/>
        <w:ind w:firstLine="2125"/>
        <w:jc w:val="both"/>
        <w:rPr>
          <w:rFonts w:ascii="Arial" w:eastAsia="Arial" w:hAnsi="Arial" w:cs="Arial"/>
        </w:rPr>
      </w:pPr>
      <w:r>
        <w:rPr>
          <w:rFonts w:ascii="Arial" w:eastAsia="Arial" w:hAnsi="Arial" w:cs="Arial"/>
        </w:rPr>
        <w:t xml:space="preserve">Que, dicho criterio procura evitar que la Administración Municipal deba reconocer, a los efectos de la presentación de proyectos, cadenas </w:t>
      </w:r>
      <w:r>
        <w:rPr>
          <w:rFonts w:ascii="Arial" w:eastAsia="Arial" w:hAnsi="Arial" w:cs="Arial"/>
        </w:rPr>
        <w:lastRenderedPageBreak/>
        <w:t>sucesivas de boletos, cesiones u otros instrumentos privados cuya valoración excede el objeto y las competencias propias del procedimiento administrativo de Obras Particulares;</w:t>
      </w:r>
    </w:p>
    <w:p w14:paraId="3911C215" w14:textId="77777777" w:rsidR="00760340" w:rsidRDefault="004E6F15">
      <w:pPr>
        <w:spacing w:before="280" w:after="280" w:line="240" w:lineRule="auto"/>
        <w:ind w:firstLine="2125"/>
        <w:jc w:val="both"/>
        <w:rPr>
          <w:rFonts w:ascii="Arial" w:eastAsia="Arial" w:hAnsi="Arial" w:cs="Arial"/>
        </w:rPr>
      </w:pPr>
      <w:r>
        <w:rPr>
          <w:rFonts w:ascii="Arial" w:eastAsia="Arial" w:hAnsi="Arial" w:cs="Arial"/>
        </w:rPr>
        <w:t>Que, resulta igualmente necesario establecer de manera inequívoca que el régimen de acreditación será exigible tanto para las presentaciones realizadas en instancia de Visado Previo como para aquellas que se efectúen directamente para Aprobación de Proyecto, atento a que ambas constituyen modalidades de presentación contempladas por el Código de Edificación;</w:t>
      </w:r>
    </w:p>
    <w:p w14:paraId="794F7113" w14:textId="77777777" w:rsidR="00760340" w:rsidRDefault="004E6F15">
      <w:pPr>
        <w:spacing w:before="280" w:after="280" w:line="240" w:lineRule="auto"/>
        <w:ind w:firstLine="2125"/>
        <w:jc w:val="both"/>
        <w:rPr>
          <w:rFonts w:ascii="Arial" w:eastAsia="Arial" w:hAnsi="Arial" w:cs="Arial"/>
        </w:rPr>
      </w:pPr>
      <w:r>
        <w:rPr>
          <w:rFonts w:ascii="Arial" w:eastAsia="Arial" w:hAnsi="Arial" w:cs="Arial"/>
        </w:rPr>
        <w:t>Que, ello no implica establecer el Visado Previo como instancia obligatoria anterior a la Aprobación de Proyecto, correspondiendo conservar su finalidad propia dentro del procedimiento previsto por el Código;</w:t>
      </w:r>
    </w:p>
    <w:p w14:paraId="77B1D0BF" w14:textId="77777777" w:rsidR="00760340" w:rsidRDefault="004E6F15">
      <w:pPr>
        <w:spacing w:before="280" w:after="280" w:line="240" w:lineRule="auto"/>
        <w:ind w:firstLine="2125"/>
        <w:jc w:val="both"/>
        <w:rPr>
          <w:rFonts w:ascii="Arial" w:eastAsia="Arial" w:hAnsi="Arial" w:cs="Arial"/>
        </w:rPr>
      </w:pPr>
      <w:r>
        <w:rPr>
          <w:rFonts w:ascii="Arial" w:eastAsia="Arial" w:hAnsi="Arial" w:cs="Arial"/>
        </w:rPr>
        <w:t xml:space="preserve">Que, el Código de Edificación establece asimismo, para otros procedimientos, la obligación de acreditar la propiedad del inmueble de idéntica forma que para las obras nuevas, por lo que corresponde mantener un criterio uniforme de acreditación de titularidad y legitimación para todos aquellos trámites en los cuales resulte exigible dicho requisito; </w:t>
      </w:r>
    </w:p>
    <w:p w14:paraId="7BA2307C" w14:textId="77777777" w:rsidR="00760340" w:rsidRDefault="004E6F15">
      <w:pPr>
        <w:spacing w:before="280" w:after="280" w:line="240" w:lineRule="auto"/>
        <w:ind w:firstLine="2125"/>
        <w:jc w:val="both"/>
        <w:rPr>
          <w:rFonts w:ascii="Arial" w:eastAsia="Arial" w:hAnsi="Arial" w:cs="Arial"/>
        </w:rPr>
      </w:pPr>
      <w:r>
        <w:rPr>
          <w:rFonts w:ascii="Arial" w:eastAsia="Arial" w:hAnsi="Arial" w:cs="Arial"/>
        </w:rPr>
        <w:t>Que, la presente modificación se circunscribe exclusivamente al régimen de acreditación de titularidad y legitimación para promover trámites ante la Dirección de Obras Particulares, sin modificar ni reafirmar los restantes requisitos técnicos, gráficos, ambientales, documentales o procedimentales establecidos por el Código de Edificación y sus ordenanzas modificatorias;</w:t>
      </w:r>
    </w:p>
    <w:p w14:paraId="182B040E" w14:textId="77777777" w:rsidR="00760340" w:rsidRDefault="004E6F15">
      <w:pPr>
        <w:spacing w:before="280" w:after="280" w:line="240" w:lineRule="auto"/>
        <w:ind w:firstLine="2125"/>
        <w:jc w:val="both"/>
        <w:rPr>
          <w:rFonts w:ascii="Arial" w:eastAsia="Arial" w:hAnsi="Arial" w:cs="Arial"/>
        </w:rPr>
      </w:pPr>
      <w:r>
        <w:rPr>
          <w:rFonts w:ascii="Arial" w:eastAsia="Arial" w:hAnsi="Arial" w:cs="Arial"/>
        </w:rPr>
        <w:t>Que, resulta asimismo necesario establecer que la documentación admitida a los fines de la tramitación municipal no implica reconocimiento, constitución, transmisión ni modificación de derechos reales por parte del Municipio, ni convalida situaciones dominiales irregulares;</w:t>
      </w:r>
    </w:p>
    <w:p w14:paraId="45473C11" w14:textId="77777777" w:rsidR="00760340" w:rsidRDefault="004E6F15">
      <w:pPr>
        <w:spacing w:before="280" w:after="280" w:line="240" w:lineRule="auto"/>
        <w:ind w:firstLine="2125"/>
        <w:jc w:val="both"/>
        <w:rPr>
          <w:rFonts w:ascii="Arial" w:eastAsia="Arial" w:hAnsi="Arial" w:cs="Arial"/>
        </w:rPr>
      </w:pPr>
      <w:r>
        <w:rPr>
          <w:rFonts w:ascii="Arial" w:eastAsia="Arial" w:hAnsi="Arial" w:cs="Arial"/>
        </w:rPr>
        <w:t>Que, a fin de preservar la seguridad jurídica y las situaciones administrativas preexistentes, corresponde disponer que el nuevo régimen resulte aplicable a las presentaciones que se inicien a partir de la entrada en vigencia de la presente Ordenanza, manteniéndose para los expedientes iniciados con anterioridad las condiciones de acreditación vigentes al momento de su presentación;</w:t>
      </w:r>
    </w:p>
    <w:p w14:paraId="58D82DBE" w14:textId="77777777" w:rsidR="00760340" w:rsidRDefault="004E6F15">
      <w:pPr>
        <w:spacing w:before="280" w:after="280" w:line="240" w:lineRule="auto"/>
        <w:ind w:firstLine="2125"/>
        <w:jc w:val="both"/>
        <w:rPr>
          <w:rFonts w:ascii="Arial" w:eastAsia="Arial" w:hAnsi="Arial" w:cs="Arial"/>
        </w:rPr>
      </w:pPr>
      <w:r>
        <w:rPr>
          <w:rFonts w:ascii="Arial" w:eastAsia="Arial" w:hAnsi="Arial" w:cs="Arial"/>
        </w:rPr>
        <w:t>Que, corresponde al Concejo Deliberante, en ejercicio de sus atribuciones, introducir las modificaciones necesarias al Código de Edificación a fin de fortalecer la seguridad jurídica, la transparencia administrativa, la adecuada gestión del territorio y la protección de las personas involucradas en los procedimientos y operaciones vinculadas con inmuebles del ejido municipal;</w:t>
      </w:r>
    </w:p>
    <w:p w14:paraId="785FBC7E" w14:textId="68E76B0C" w:rsidR="00760340" w:rsidRDefault="004E6F15">
      <w:pPr>
        <w:spacing w:before="280" w:after="280" w:line="240" w:lineRule="auto"/>
        <w:jc w:val="center"/>
        <w:rPr>
          <w:rFonts w:ascii="Arial" w:eastAsia="Arial" w:hAnsi="Arial" w:cs="Arial"/>
        </w:rPr>
      </w:pPr>
      <w:r>
        <w:rPr>
          <w:rFonts w:ascii="Arial" w:eastAsia="Arial" w:hAnsi="Arial" w:cs="Arial"/>
        </w:rPr>
        <w:t>Por ello y conforme a lo dispuesto en el Art. 1</w:t>
      </w:r>
      <w:r w:rsidR="00E50420">
        <w:rPr>
          <w:rFonts w:ascii="Arial" w:eastAsia="Arial" w:hAnsi="Arial" w:cs="Arial"/>
        </w:rPr>
        <w:t>07</w:t>
      </w:r>
      <w:r>
        <w:rPr>
          <w:rFonts w:ascii="Arial" w:eastAsia="Arial" w:hAnsi="Arial" w:cs="Arial"/>
        </w:rPr>
        <w:t xml:space="preserve"> de la Carta Orgánica Municipal.</w:t>
      </w:r>
    </w:p>
    <w:p w14:paraId="0BCF3240" w14:textId="77777777" w:rsidR="00760340" w:rsidRDefault="004E6F15">
      <w:pPr>
        <w:spacing w:before="280" w:after="280" w:line="240" w:lineRule="auto"/>
        <w:jc w:val="center"/>
        <w:rPr>
          <w:rFonts w:ascii="Arial" w:eastAsia="Arial" w:hAnsi="Arial" w:cs="Arial"/>
          <w:b/>
          <w:bCs/>
        </w:rPr>
      </w:pPr>
      <w:r>
        <w:rPr>
          <w:rFonts w:ascii="Arial" w:eastAsia="Arial" w:hAnsi="Arial" w:cs="Arial"/>
          <w:b/>
          <w:bCs/>
        </w:rPr>
        <w:t>El Concejo Deliberante de la Municipalidad de Villa La Angostura</w:t>
      </w:r>
    </w:p>
    <w:p w14:paraId="26C77A1F" w14:textId="77777777" w:rsidR="00760340" w:rsidRDefault="004E6F15">
      <w:pPr>
        <w:spacing w:before="280" w:after="280" w:line="240" w:lineRule="auto"/>
        <w:jc w:val="center"/>
        <w:rPr>
          <w:rFonts w:ascii="Arial" w:eastAsia="Arial" w:hAnsi="Arial" w:cs="Arial"/>
          <w:b/>
          <w:bCs/>
        </w:rPr>
      </w:pPr>
      <w:r>
        <w:rPr>
          <w:rFonts w:ascii="Arial" w:eastAsia="Arial" w:hAnsi="Arial" w:cs="Arial"/>
          <w:b/>
          <w:bCs/>
        </w:rPr>
        <w:t>SANCIONA CON FUERZA DE</w:t>
      </w:r>
    </w:p>
    <w:p w14:paraId="4DA4CBEE" w14:textId="77777777" w:rsidR="00760340" w:rsidRDefault="004E6F15">
      <w:pPr>
        <w:spacing w:before="280" w:after="280" w:line="240" w:lineRule="auto"/>
        <w:jc w:val="center"/>
        <w:rPr>
          <w:rFonts w:ascii="Arial" w:eastAsia="Arial" w:hAnsi="Arial" w:cs="Arial"/>
          <w:b/>
          <w:bCs/>
        </w:rPr>
      </w:pPr>
      <w:r>
        <w:rPr>
          <w:rFonts w:ascii="Arial" w:eastAsia="Arial" w:hAnsi="Arial" w:cs="Arial"/>
          <w:b/>
          <w:bCs/>
        </w:rPr>
        <w:t>ORDENANZA</w:t>
      </w:r>
    </w:p>
    <w:p w14:paraId="46304D0A" w14:textId="77777777" w:rsidR="00760340" w:rsidRDefault="004E6F15">
      <w:pPr>
        <w:spacing w:before="280" w:after="280" w:line="276" w:lineRule="auto"/>
        <w:jc w:val="both"/>
        <w:rPr>
          <w:rFonts w:ascii="Arial" w:eastAsia="Arial" w:hAnsi="Arial" w:cs="Arial"/>
        </w:rPr>
      </w:pPr>
      <w:r>
        <w:rPr>
          <w:rFonts w:ascii="Arial" w:eastAsia="Arial" w:hAnsi="Arial" w:cs="Arial"/>
          <w:b/>
          <w:bCs/>
        </w:rPr>
        <w:t>ARTÍCULO 1°: MODIFÍCASE</w:t>
      </w:r>
      <w:r>
        <w:rPr>
          <w:rFonts w:ascii="Arial" w:eastAsia="Arial" w:hAnsi="Arial" w:cs="Arial"/>
        </w:rPr>
        <w:t xml:space="preserve"> el punto 3.4 del Código de Edificación Ordenanza N.º 1415/03, el que quedará redactado de la siguiente manera:</w:t>
      </w:r>
    </w:p>
    <w:p w14:paraId="460861D5" w14:textId="349C3B73" w:rsidR="00760340" w:rsidRDefault="004E6F15">
      <w:pPr>
        <w:spacing w:after="0" w:line="240" w:lineRule="auto"/>
        <w:jc w:val="both"/>
        <w:rPr>
          <w:rFonts w:ascii="Arial" w:eastAsia="Arial" w:hAnsi="Arial" w:cs="Arial"/>
        </w:rPr>
      </w:pPr>
      <w:r>
        <w:rPr>
          <w:rFonts w:ascii="Arial" w:eastAsia="Arial" w:hAnsi="Arial" w:cs="Arial"/>
        </w:rPr>
        <w:lastRenderedPageBreak/>
        <w:t>El visado previo es una consulta formal realizada ante la Municipalidad, tendiente a verificar el cumplimiento de todas las reglamentaciones en vigencia. No autoriza el inicio de la construcción ni regulariza situación alguna.</w:t>
      </w:r>
    </w:p>
    <w:p w14:paraId="4A9E031E" w14:textId="77777777" w:rsidR="00760340" w:rsidRDefault="00760340">
      <w:pPr>
        <w:spacing w:after="0" w:line="240" w:lineRule="auto"/>
        <w:jc w:val="both"/>
        <w:rPr>
          <w:rFonts w:ascii="Arial" w:eastAsia="Arial" w:hAnsi="Arial" w:cs="Arial"/>
        </w:rPr>
      </w:pPr>
    </w:p>
    <w:p w14:paraId="2AEA6E77" w14:textId="77777777" w:rsidR="00760340" w:rsidRDefault="004E6F15">
      <w:pPr>
        <w:spacing w:after="0" w:line="240" w:lineRule="auto"/>
        <w:jc w:val="both"/>
        <w:rPr>
          <w:rFonts w:ascii="Arial" w:eastAsia="Arial" w:hAnsi="Arial" w:cs="Arial"/>
        </w:rPr>
      </w:pPr>
      <w:r>
        <w:rPr>
          <w:rFonts w:ascii="Arial" w:eastAsia="Arial" w:hAnsi="Arial" w:cs="Arial"/>
        </w:rPr>
        <w:t>No se dará curso al visado previo cuando un proyecto involucre dos o más parcelas, sin previamente haber registrado el plano de mensura con unificación por la Municipalidad.</w:t>
      </w:r>
    </w:p>
    <w:p w14:paraId="7E9C9987" w14:textId="77777777" w:rsidR="00760340" w:rsidRDefault="00760340">
      <w:pPr>
        <w:spacing w:after="0" w:line="240" w:lineRule="auto"/>
        <w:jc w:val="both"/>
        <w:rPr>
          <w:rFonts w:ascii="Arial" w:eastAsia="Arial" w:hAnsi="Arial" w:cs="Arial"/>
        </w:rPr>
      </w:pPr>
    </w:p>
    <w:p w14:paraId="58BAC920" w14:textId="77777777" w:rsidR="00760340" w:rsidRDefault="004E6F15">
      <w:pPr>
        <w:spacing w:after="0" w:line="240" w:lineRule="auto"/>
        <w:jc w:val="both"/>
        <w:rPr>
          <w:rFonts w:ascii="Arial" w:eastAsia="Arial" w:hAnsi="Arial" w:cs="Arial"/>
        </w:rPr>
      </w:pPr>
      <w:r>
        <w:rPr>
          <w:rFonts w:ascii="Arial" w:eastAsia="Arial" w:hAnsi="Arial" w:cs="Arial"/>
        </w:rPr>
        <w:t>Tampoco se otorgará el visado previo en los casos en que no se hallare aprobado el estudio o informe de impacto ambiental.</w:t>
      </w:r>
    </w:p>
    <w:p w14:paraId="10C2BED9" w14:textId="77777777" w:rsidR="00760340" w:rsidRDefault="00760340">
      <w:pPr>
        <w:spacing w:after="0" w:line="240" w:lineRule="auto"/>
        <w:jc w:val="both"/>
        <w:rPr>
          <w:rFonts w:ascii="Arial" w:eastAsia="Arial" w:hAnsi="Arial" w:cs="Arial"/>
        </w:rPr>
      </w:pPr>
    </w:p>
    <w:p w14:paraId="1A2045BA" w14:textId="77777777" w:rsidR="00760340" w:rsidRDefault="004E6F15">
      <w:pPr>
        <w:spacing w:after="0" w:line="240" w:lineRule="auto"/>
        <w:jc w:val="both"/>
        <w:rPr>
          <w:rFonts w:ascii="Arial" w:eastAsia="Arial" w:hAnsi="Arial" w:cs="Arial"/>
        </w:rPr>
      </w:pPr>
      <w:r>
        <w:rPr>
          <w:rFonts w:ascii="Arial" w:eastAsia="Arial" w:hAnsi="Arial" w:cs="Arial"/>
        </w:rPr>
        <w:t>Se presentarán dos juegos de copias de planos, de los cuales, uno será retenido por la Municipalidad, y el restante será retirado por el profesional.</w:t>
      </w:r>
    </w:p>
    <w:p w14:paraId="631FC191" w14:textId="77777777" w:rsidR="00760340" w:rsidRDefault="00760340">
      <w:pPr>
        <w:spacing w:after="0" w:line="240" w:lineRule="auto"/>
        <w:jc w:val="both"/>
        <w:rPr>
          <w:rFonts w:ascii="Arial" w:eastAsia="Arial" w:hAnsi="Arial" w:cs="Arial"/>
        </w:rPr>
      </w:pPr>
    </w:p>
    <w:p w14:paraId="5451BF13" w14:textId="77777777" w:rsidR="00760340" w:rsidRDefault="004E6F15">
      <w:pPr>
        <w:spacing w:after="0" w:line="240" w:lineRule="auto"/>
        <w:jc w:val="both"/>
        <w:rPr>
          <w:rFonts w:ascii="Arial" w:eastAsia="Arial" w:hAnsi="Arial" w:cs="Arial"/>
        </w:rPr>
      </w:pPr>
      <w:r>
        <w:rPr>
          <w:rFonts w:ascii="Arial" w:eastAsia="Arial" w:hAnsi="Arial" w:cs="Arial"/>
        </w:rPr>
        <w:t>La documentación a presentar será la siguiente:</w:t>
      </w:r>
    </w:p>
    <w:p w14:paraId="5F1C2F37" w14:textId="77777777" w:rsidR="00760340" w:rsidRDefault="00760340">
      <w:pPr>
        <w:spacing w:after="0" w:line="240" w:lineRule="auto"/>
        <w:jc w:val="both"/>
        <w:rPr>
          <w:rFonts w:ascii="Arial" w:eastAsia="Arial" w:hAnsi="Arial" w:cs="Arial"/>
        </w:rPr>
      </w:pPr>
    </w:p>
    <w:p w14:paraId="574C3FB9" w14:textId="77777777" w:rsidR="00760340" w:rsidRDefault="004E6F15">
      <w:pPr>
        <w:numPr>
          <w:ilvl w:val="0"/>
          <w:numId w:val="1"/>
        </w:numPr>
        <w:spacing w:after="0" w:line="240" w:lineRule="auto"/>
        <w:jc w:val="both"/>
        <w:rPr>
          <w:rFonts w:ascii="Arial" w:eastAsia="Arial" w:hAnsi="Arial" w:cs="Arial"/>
        </w:rPr>
      </w:pPr>
      <w:r>
        <w:rPr>
          <w:rFonts w:ascii="Arial" w:eastAsia="Arial" w:hAnsi="Arial" w:cs="Arial"/>
        </w:rPr>
        <w:t>Solicitud indicando el proyecto que se propone, firmado por el proyectista.</w:t>
      </w:r>
    </w:p>
    <w:p w14:paraId="233587E2" w14:textId="77777777" w:rsidR="00760340" w:rsidRDefault="004E6F15">
      <w:pPr>
        <w:spacing w:before="280" w:after="280" w:line="276" w:lineRule="auto"/>
        <w:ind w:firstLine="360"/>
        <w:jc w:val="both"/>
        <w:rPr>
          <w:rFonts w:ascii="Arial" w:eastAsia="Arial" w:hAnsi="Arial" w:cs="Arial"/>
        </w:rPr>
      </w:pPr>
      <w:r>
        <w:rPr>
          <w:rFonts w:ascii="Arial" w:eastAsia="Arial" w:hAnsi="Arial" w:cs="Arial"/>
        </w:rPr>
        <w:t>2.  A los fines de promover trámites ante la Dirección de Obras Particulares, la titularidad del inmueble o la legitimación suficiente del solicitante deberá acreditarse mediante alguno de los siguientes instrumentos:</w:t>
      </w:r>
    </w:p>
    <w:p w14:paraId="57AA9D40" w14:textId="77777777" w:rsidR="00760340" w:rsidRDefault="004E6F15">
      <w:pPr>
        <w:spacing w:before="280" w:after="280" w:line="276" w:lineRule="auto"/>
        <w:jc w:val="both"/>
        <w:rPr>
          <w:rFonts w:ascii="Arial" w:eastAsia="Arial" w:hAnsi="Arial" w:cs="Arial"/>
        </w:rPr>
      </w:pPr>
      <w:r>
        <w:rPr>
          <w:rFonts w:ascii="Arial" w:eastAsia="Arial" w:hAnsi="Arial" w:cs="Arial"/>
        </w:rPr>
        <w:t>a) Escritura traslativa de dominio debidamente inscripta en el Registro de la Propiedad Inmueble.</w:t>
      </w:r>
    </w:p>
    <w:p w14:paraId="475F8A46" w14:textId="77777777" w:rsidR="00760340" w:rsidRDefault="004E6F15">
      <w:pPr>
        <w:spacing w:before="280" w:after="280" w:line="276" w:lineRule="auto"/>
        <w:jc w:val="both"/>
        <w:rPr>
          <w:rFonts w:ascii="Arial" w:eastAsia="Arial" w:hAnsi="Arial" w:cs="Arial"/>
        </w:rPr>
      </w:pPr>
      <w:r>
        <w:rPr>
          <w:rFonts w:ascii="Arial" w:eastAsia="Arial" w:hAnsi="Arial" w:cs="Arial"/>
        </w:rPr>
        <w:t>b) Cuando la escritura se encontrare en trámite, certificación expedida por Escribano Público en la que conste expresamente que el acto de escrituración se encuentra en curso.</w:t>
      </w:r>
    </w:p>
    <w:p w14:paraId="37487A18" w14:textId="77777777" w:rsidR="00760340" w:rsidRDefault="004E6F15">
      <w:pPr>
        <w:spacing w:before="280" w:after="280" w:line="276" w:lineRule="auto"/>
        <w:jc w:val="both"/>
        <w:rPr>
          <w:rFonts w:ascii="Arial" w:eastAsia="Arial" w:hAnsi="Arial" w:cs="Arial"/>
        </w:rPr>
      </w:pPr>
      <w:r>
        <w:rPr>
          <w:rFonts w:ascii="Arial" w:eastAsia="Arial" w:hAnsi="Arial" w:cs="Arial"/>
        </w:rPr>
        <w:t>c) En los casos de inmuebles comprendidos en procesos sucesorios, la correspondiente constancia judicial, debiendo encontrarse el inmueble registrado a nombre del causante y la presentación ser suscripta por el administrador judicial de la sucesión o por quien acredite legalmente representación suficiente.</w:t>
      </w:r>
    </w:p>
    <w:p w14:paraId="7280BC50" w14:textId="77777777" w:rsidR="00760340" w:rsidRDefault="004E6F15">
      <w:pPr>
        <w:spacing w:before="280" w:after="280" w:line="276" w:lineRule="auto"/>
        <w:jc w:val="both"/>
        <w:rPr>
          <w:rFonts w:ascii="Arial" w:eastAsia="Arial" w:hAnsi="Arial" w:cs="Arial"/>
        </w:rPr>
      </w:pPr>
      <w:r>
        <w:rPr>
          <w:rFonts w:ascii="Arial" w:eastAsia="Arial" w:hAnsi="Arial" w:cs="Arial"/>
        </w:rPr>
        <w:t>d) Boleto de compraventa celebrado directamente entre el solicitante, en carácter de comprador, y el titular dominial del inmueble inscripto en el Registro de la Propiedad Inmueble, en carácter de vendedor, con las firmas de ambas partes debidamente certificadas por Escribano Público, debiendo encontrarse cumplidas las obligaciones fiscales correspondientes al instrumento, incluido el sellado ante el organismo fiscal competente</w:t>
      </w:r>
    </w:p>
    <w:p w14:paraId="4FC541D9" w14:textId="77777777" w:rsidR="00760340" w:rsidRDefault="004E6F15">
      <w:pPr>
        <w:spacing w:before="280" w:after="280" w:line="276" w:lineRule="auto"/>
        <w:jc w:val="both"/>
        <w:rPr>
          <w:rFonts w:ascii="Arial" w:eastAsia="Arial" w:hAnsi="Arial" w:cs="Arial"/>
        </w:rPr>
      </w:pPr>
      <w:r>
        <w:rPr>
          <w:rFonts w:ascii="Arial" w:eastAsia="Arial" w:hAnsi="Arial" w:cs="Arial"/>
        </w:rPr>
        <w:t>e) Para los adjudicatarios de lotes o viviendas correspondientes a planes sociales nacionales, provinciales y/o municipales, certificación expedida por el organismo competente que acredite la adjudicación y legítima posesión del inmueble.”</w:t>
      </w:r>
    </w:p>
    <w:p w14:paraId="5D7BF42D" w14:textId="77777777" w:rsidR="00760340" w:rsidRDefault="004E6F15">
      <w:pPr>
        <w:spacing w:after="0" w:line="240" w:lineRule="auto"/>
        <w:ind w:firstLine="720"/>
        <w:jc w:val="both"/>
        <w:rPr>
          <w:rFonts w:ascii="Arial" w:eastAsia="Arial" w:hAnsi="Arial" w:cs="Arial"/>
        </w:rPr>
      </w:pPr>
      <w:r>
        <w:rPr>
          <w:rFonts w:ascii="Arial" w:eastAsia="Arial" w:hAnsi="Arial" w:cs="Arial"/>
        </w:rPr>
        <w:t>3. Certificado de libre deuda municipal.-</w:t>
      </w:r>
    </w:p>
    <w:p w14:paraId="77535416" w14:textId="77777777" w:rsidR="00760340" w:rsidRDefault="004E6F15">
      <w:pPr>
        <w:spacing w:after="0" w:line="240" w:lineRule="auto"/>
        <w:ind w:firstLine="720"/>
        <w:jc w:val="both"/>
        <w:rPr>
          <w:rFonts w:ascii="Arial" w:eastAsia="Arial" w:hAnsi="Arial" w:cs="Arial"/>
        </w:rPr>
      </w:pPr>
      <w:r>
        <w:rPr>
          <w:rFonts w:ascii="Arial" w:eastAsia="Arial" w:hAnsi="Arial" w:cs="Arial"/>
        </w:rPr>
        <w:t>4.</w:t>
      </w:r>
      <w:r>
        <w:rPr>
          <w:rFonts w:ascii="Times New Roman" w:eastAsia="Times New Roman" w:hAnsi="Times New Roman" w:cs="Times New Roman"/>
          <w:sz w:val="14"/>
          <w:szCs w:val="14"/>
        </w:rPr>
        <w:t xml:space="preserve">    </w:t>
      </w:r>
      <w:r>
        <w:rPr>
          <w:rFonts w:ascii="Arial" w:eastAsia="Arial" w:hAnsi="Arial" w:cs="Arial"/>
        </w:rPr>
        <w:t>Pago de la Tasa de visado previo.</w:t>
      </w:r>
    </w:p>
    <w:p w14:paraId="52CDC5DB" w14:textId="77777777" w:rsidR="00760340" w:rsidRDefault="004E6F15">
      <w:pPr>
        <w:numPr>
          <w:ilvl w:val="0"/>
          <w:numId w:val="2"/>
        </w:numPr>
        <w:spacing w:after="0" w:line="240" w:lineRule="auto"/>
        <w:ind w:left="992" w:hanging="283"/>
        <w:jc w:val="both"/>
        <w:rPr>
          <w:rFonts w:ascii="Arial" w:eastAsia="Arial" w:hAnsi="Arial" w:cs="Arial"/>
        </w:rPr>
      </w:pPr>
      <w:r>
        <w:rPr>
          <w:rFonts w:ascii="Arial" w:eastAsia="Arial" w:hAnsi="Arial" w:cs="Arial"/>
        </w:rPr>
        <w:t>Certificado de deslinde y amojonamiento (por duplicado) en el cual consten las curvas de nivel, relevamiento de arroyos y hechos preexistentes (alcantarillados, servidumbres de paso y edificaciones)-</w:t>
      </w:r>
    </w:p>
    <w:p w14:paraId="3B2C31C2" w14:textId="77777777" w:rsidR="00760340" w:rsidRDefault="004E6F15">
      <w:pPr>
        <w:numPr>
          <w:ilvl w:val="0"/>
          <w:numId w:val="2"/>
        </w:numPr>
        <w:spacing w:after="0" w:line="240" w:lineRule="auto"/>
        <w:ind w:left="1133" w:hanging="425"/>
        <w:jc w:val="both"/>
        <w:rPr>
          <w:rFonts w:ascii="Arial" w:eastAsia="Arial" w:hAnsi="Arial" w:cs="Arial"/>
        </w:rPr>
      </w:pPr>
      <w:r>
        <w:rPr>
          <w:rFonts w:ascii="Arial" w:eastAsia="Arial" w:hAnsi="Arial" w:cs="Arial"/>
        </w:rPr>
        <w:t>Fijación de domicilio legal en la localidad.-</w:t>
      </w:r>
    </w:p>
    <w:p w14:paraId="297DB918" w14:textId="77777777" w:rsidR="00760340" w:rsidRDefault="004E6F15">
      <w:pPr>
        <w:numPr>
          <w:ilvl w:val="0"/>
          <w:numId w:val="2"/>
        </w:numPr>
        <w:spacing w:after="0" w:line="240" w:lineRule="auto"/>
        <w:ind w:left="1133" w:hanging="425"/>
        <w:jc w:val="both"/>
        <w:rPr>
          <w:rFonts w:ascii="Arial" w:eastAsia="Arial" w:hAnsi="Arial" w:cs="Arial"/>
        </w:rPr>
      </w:pPr>
      <w:r>
        <w:rPr>
          <w:rFonts w:ascii="Arial" w:eastAsia="Arial" w:hAnsi="Arial" w:cs="Arial"/>
        </w:rPr>
        <w:t>Planilla de la Dirección Provincial de Bosques (por duplicado); hasta la Reglamentación del Código Forestal Municipal.-</w:t>
      </w:r>
    </w:p>
    <w:p w14:paraId="57328A7C" w14:textId="77777777" w:rsidR="00760340" w:rsidRDefault="004E6F15">
      <w:pPr>
        <w:numPr>
          <w:ilvl w:val="0"/>
          <w:numId w:val="2"/>
        </w:numPr>
        <w:spacing w:after="0" w:line="240" w:lineRule="auto"/>
        <w:ind w:left="992" w:hanging="283"/>
        <w:jc w:val="both"/>
        <w:rPr>
          <w:rFonts w:ascii="Arial" w:eastAsia="Arial" w:hAnsi="Arial" w:cs="Arial"/>
        </w:rPr>
      </w:pPr>
      <w:r>
        <w:rPr>
          <w:rFonts w:ascii="Arial" w:eastAsia="Arial" w:hAnsi="Arial" w:cs="Arial"/>
        </w:rPr>
        <w:lastRenderedPageBreak/>
        <w:t>Dos juegos de planos con carátula reglamentaria (o los que en el futuro lo reemplacen) que contendrán:</w:t>
      </w:r>
    </w:p>
    <w:p w14:paraId="48F79CCD" w14:textId="4BC57D9D" w:rsidR="00760340" w:rsidRDefault="004E6F15">
      <w:pPr>
        <w:spacing w:after="0" w:line="240" w:lineRule="auto"/>
        <w:ind w:left="1300" w:hanging="360"/>
        <w:jc w:val="both"/>
        <w:rPr>
          <w:rFonts w:ascii="Arial" w:eastAsia="Arial" w:hAnsi="Arial" w:cs="Arial"/>
        </w:rPr>
      </w:pPr>
      <w:r>
        <w:rPr>
          <w:rFonts w:ascii="Arial" w:eastAsia="Arial" w:hAnsi="Arial" w:cs="Arial"/>
        </w:rPr>
        <w:t>a)</w:t>
      </w:r>
      <w:r>
        <w:rPr>
          <w:rFonts w:ascii="Times New Roman" w:eastAsia="Times New Roman" w:hAnsi="Times New Roman" w:cs="Times New Roman"/>
          <w:sz w:val="14"/>
          <w:szCs w:val="14"/>
        </w:rPr>
        <w:t xml:space="preserve">    </w:t>
      </w:r>
      <w:r>
        <w:rPr>
          <w:rFonts w:ascii="Arial" w:eastAsia="Arial" w:hAnsi="Arial" w:cs="Arial"/>
        </w:rPr>
        <w:t xml:space="preserve">Croquis de ubicación en el terreno, en escala conveniente, donde consten retiros y construcciones existentes y ubicación del sistema cloacal </w:t>
      </w:r>
      <w:r w:rsidR="00786529">
        <w:rPr>
          <w:rFonts w:ascii="Arial" w:eastAsia="Arial" w:hAnsi="Arial" w:cs="Arial"/>
        </w:rPr>
        <w:t>propuesto. -</w:t>
      </w:r>
    </w:p>
    <w:p w14:paraId="5E473193" w14:textId="77777777" w:rsidR="00760340" w:rsidRDefault="004E6F15">
      <w:pPr>
        <w:spacing w:after="0" w:line="240" w:lineRule="auto"/>
        <w:ind w:left="1300" w:hanging="360"/>
        <w:jc w:val="both"/>
        <w:rPr>
          <w:rFonts w:ascii="Arial" w:eastAsia="Arial" w:hAnsi="Arial" w:cs="Arial"/>
        </w:rPr>
      </w:pPr>
      <w:r>
        <w:rPr>
          <w:rFonts w:ascii="Arial" w:eastAsia="Arial" w:hAnsi="Arial" w:cs="Arial"/>
        </w:rPr>
        <w:t>b)</w:t>
      </w:r>
      <w:r>
        <w:rPr>
          <w:rFonts w:ascii="Times New Roman" w:eastAsia="Times New Roman" w:hAnsi="Times New Roman" w:cs="Times New Roman"/>
          <w:sz w:val="14"/>
          <w:szCs w:val="14"/>
        </w:rPr>
        <w:t xml:space="preserve">    </w:t>
      </w:r>
      <w:r>
        <w:rPr>
          <w:rFonts w:ascii="Arial" w:eastAsia="Arial" w:hAnsi="Arial" w:cs="Arial"/>
        </w:rPr>
        <w:t>Plantas (de todos los niveles) incluyendo planta de techos (1:50).-</w:t>
      </w:r>
    </w:p>
    <w:p w14:paraId="6C45AAB8" w14:textId="77777777" w:rsidR="00760340" w:rsidRDefault="004E6F15">
      <w:pPr>
        <w:spacing w:after="0" w:line="240" w:lineRule="auto"/>
        <w:ind w:left="1300" w:hanging="360"/>
        <w:jc w:val="both"/>
        <w:rPr>
          <w:rFonts w:ascii="Arial" w:eastAsia="Arial" w:hAnsi="Arial" w:cs="Arial"/>
        </w:rPr>
      </w:pPr>
      <w:r>
        <w:rPr>
          <w:rFonts w:ascii="Arial" w:eastAsia="Arial" w:hAnsi="Arial" w:cs="Arial"/>
        </w:rPr>
        <w:t>c)</w:t>
      </w:r>
      <w:r>
        <w:rPr>
          <w:rFonts w:ascii="Times New Roman" w:eastAsia="Times New Roman" w:hAnsi="Times New Roman" w:cs="Times New Roman"/>
          <w:sz w:val="14"/>
          <w:szCs w:val="14"/>
        </w:rPr>
        <w:t xml:space="preserve">     </w:t>
      </w:r>
      <w:r>
        <w:rPr>
          <w:rFonts w:ascii="Arial" w:eastAsia="Arial" w:hAnsi="Arial" w:cs="Arial"/>
        </w:rPr>
        <w:t>Cortes (al menos dos). Se permitirá uno solo cuando sea suficiente para la total comprensión de la obra (1:50).-</w:t>
      </w:r>
    </w:p>
    <w:p w14:paraId="47B33846" w14:textId="77777777" w:rsidR="00760340" w:rsidRDefault="004E6F15">
      <w:pPr>
        <w:spacing w:after="0" w:line="240" w:lineRule="auto"/>
        <w:ind w:left="1300" w:hanging="360"/>
        <w:jc w:val="both"/>
        <w:rPr>
          <w:rFonts w:ascii="Arial" w:eastAsia="Arial" w:hAnsi="Arial" w:cs="Arial"/>
        </w:rPr>
      </w:pPr>
      <w:r>
        <w:rPr>
          <w:rFonts w:ascii="Arial" w:eastAsia="Arial" w:hAnsi="Arial" w:cs="Arial"/>
        </w:rPr>
        <w:t>d)</w:t>
      </w:r>
      <w:r>
        <w:rPr>
          <w:rFonts w:ascii="Times New Roman" w:eastAsia="Times New Roman" w:hAnsi="Times New Roman" w:cs="Times New Roman"/>
          <w:sz w:val="14"/>
          <w:szCs w:val="14"/>
        </w:rPr>
        <w:t xml:space="preserve">    </w:t>
      </w:r>
      <w:r>
        <w:rPr>
          <w:rFonts w:ascii="Arial" w:eastAsia="Arial" w:hAnsi="Arial" w:cs="Arial"/>
        </w:rPr>
        <w:t>Silueta de superficies discriminando obra nueva, existente, a demoler, a ampliar, cubierta y semicubierta (1:200 o 1:500).- )</w:t>
      </w:r>
    </w:p>
    <w:p w14:paraId="4182B0C4" w14:textId="10C1D8F6" w:rsidR="00760340" w:rsidRDefault="004E6F15">
      <w:pPr>
        <w:spacing w:after="0" w:line="240" w:lineRule="auto"/>
        <w:ind w:left="1300" w:hanging="360"/>
        <w:jc w:val="both"/>
        <w:rPr>
          <w:rFonts w:ascii="Arial" w:eastAsia="Arial" w:hAnsi="Arial" w:cs="Arial"/>
        </w:rPr>
      </w:pPr>
      <w:r>
        <w:rPr>
          <w:rFonts w:ascii="Arial" w:eastAsia="Arial" w:hAnsi="Arial" w:cs="Arial"/>
        </w:rPr>
        <w:t>e)</w:t>
      </w:r>
      <w:r>
        <w:rPr>
          <w:rFonts w:ascii="Times New Roman" w:eastAsia="Times New Roman" w:hAnsi="Times New Roman" w:cs="Times New Roman"/>
          <w:sz w:val="14"/>
          <w:szCs w:val="14"/>
        </w:rPr>
        <w:t xml:space="preserve">    </w:t>
      </w:r>
      <w:r>
        <w:rPr>
          <w:rFonts w:ascii="Arial" w:eastAsia="Arial" w:hAnsi="Arial" w:cs="Arial"/>
        </w:rPr>
        <w:t xml:space="preserve">(Ordenanza nº 1468: 09/06/2004)Fachadas. Se </w:t>
      </w:r>
      <w:r w:rsidR="00786529">
        <w:rPr>
          <w:rFonts w:ascii="Arial" w:eastAsia="Arial" w:hAnsi="Arial" w:cs="Arial"/>
        </w:rPr>
        <w:t>representarán</w:t>
      </w:r>
      <w:r>
        <w:rPr>
          <w:rFonts w:ascii="Arial" w:eastAsia="Arial" w:hAnsi="Arial" w:cs="Arial"/>
        </w:rPr>
        <w:t xml:space="preserve"> todas. Como mínimo cuatro (1:100”).-</w:t>
      </w:r>
    </w:p>
    <w:p w14:paraId="4DC43927" w14:textId="54D19AF4" w:rsidR="00760340" w:rsidRDefault="004E6F15">
      <w:pPr>
        <w:spacing w:after="0" w:line="240" w:lineRule="auto"/>
        <w:ind w:left="1300" w:hanging="360"/>
        <w:jc w:val="both"/>
        <w:rPr>
          <w:rFonts w:ascii="Arial" w:eastAsia="Arial" w:hAnsi="Arial" w:cs="Arial"/>
        </w:rPr>
      </w:pPr>
      <w:r>
        <w:rPr>
          <w:rFonts w:ascii="Arial" w:eastAsia="Arial" w:hAnsi="Arial" w:cs="Arial"/>
        </w:rPr>
        <w:t>f)</w:t>
      </w:r>
      <w:r>
        <w:rPr>
          <w:rFonts w:ascii="Times New Roman" w:eastAsia="Times New Roman" w:hAnsi="Times New Roman" w:cs="Times New Roman"/>
          <w:sz w:val="14"/>
          <w:szCs w:val="14"/>
        </w:rPr>
        <w:t xml:space="preserve">      </w:t>
      </w:r>
      <w:r>
        <w:rPr>
          <w:rFonts w:ascii="Arial" w:eastAsia="Arial" w:hAnsi="Arial" w:cs="Arial"/>
        </w:rPr>
        <w:t xml:space="preserve">Planilla de iluminación y </w:t>
      </w:r>
      <w:r w:rsidR="00786529">
        <w:rPr>
          <w:rFonts w:ascii="Arial" w:eastAsia="Arial" w:hAnsi="Arial" w:cs="Arial"/>
        </w:rPr>
        <w:t>ventilación. -</w:t>
      </w:r>
    </w:p>
    <w:p w14:paraId="7BD160DC" w14:textId="01632254" w:rsidR="00760340" w:rsidRDefault="004E6F15">
      <w:pPr>
        <w:spacing w:after="0" w:line="240" w:lineRule="auto"/>
        <w:ind w:left="1300" w:hanging="360"/>
        <w:jc w:val="both"/>
        <w:rPr>
          <w:rFonts w:ascii="Arial" w:eastAsia="Arial" w:hAnsi="Arial" w:cs="Arial"/>
        </w:rPr>
      </w:pPr>
      <w:r>
        <w:rPr>
          <w:rFonts w:ascii="Arial" w:eastAsia="Arial" w:hAnsi="Arial" w:cs="Arial"/>
        </w:rPr>
        <w:t>g)</w:t>
      </w:r>
      <w:r>
        <w:rPr>
          <w:rFonts w:ascii="Times New Roman" w:eastAsia="Times New Roman" w:hAnsi="Times New Roman" w:cs="Times New Roman"/>
          <w:sz w:val="14"/>
          <w:szCs w:val="14"/>
        </w:rPr>
        <w:t xml:space="preserve">    </w:t>
      </w:r>
      <w:r>
        <w:rPr>
          <w:rFonts w:ascii="Arial" w:eastAsia="Arial" w:hAnsi="Arial" w:cs="Arial"/>
        </w:rPr>
        <w:t xml:space="preserve">Documentación para el análisis del impacto </w:t>
      </w:r>
      <w:r w:rsidR="00786529">
        <w:rPr>
          <w:rFonts w:ascii="Arial" w:eastAsia="Arial" w:hAnsi="Arial" w:cs="Arial"/>
        </w:rPr>
        <w:t>ambiental. -</w:t>
      </w:r>
    </w:p>
    <w:p w14:paraId="2A7DD401" w14:textId="77777777" w:rsidR="00760340" w:rsidRDefault="004E6F15">
      <w:pPr>
        <w:numPr>
          <w:ilvl w:val="0"/>
          <w:numId w:val="3"/>
        </w:numPr>
        <w:spacing w:after="0" w:line="240" w:lineRule="auto"/>
        <w:jc w:val="both"/>
        <w:rPr>
          <w:rFonts w:ascii="Arial" w:eastAsia="Arial" w:hAnsi="Arial" w:cs="Arial"/>
        </w:rPr>
      </w:pPr>
      <w:r>
        <w:rPr>
          <w:rFonts w:ascii="Arial" w:eastAsia="Arial" w:hAnsi="Arial" w:cs="Arial"/>
        </w:rPr>
        <w:t>Planos de caminos, y de área afectada por los mismos.</w:t>
      </w:r>
    </w:p>
    <w:p w14:paraId="383AFC69" w14:textId="77777777" w:rsidR="00760340" w:rsidRDefault="004E6F15">
      <w:pPr>
        <w:numPr>
          <w:ilvl w:val="0"/>
          <w:numId w:val="3"/>
        </w:numPr>
        <w:spacing w:after="0" w:line="240" w:lineRule="auto"/>
        <w:jc w:val="both"/>
        <w:rPr>
          <w:rFonts w:ascii="Arial" w:eastAsia="Arial" w:hAnsi="Arial" w:cs="Arial"/>
        </w:rPr>
      </w:pPr>
      <w:r>
        <w:rPr>
          <w:rFonts w:ascii="Arial" w:eastAsia="Arial" w:hAnsi="Arial" w:cs="Arial"/>
        </w:rPr>
        <w:t>Plano de movimiento de suelos.</w:t>
      </w:r>
    </w:p>
    <w:p w14:paraId="49F21E03" w14:textId="77777777" w:rsidR="00760340" w:rsidRDefault="004E6F15">
      <w:pPr>
        <w:numPr>
          <w:ilvl w:val="0"/>
          <w:numId w:val="3"/>
        </w:numPr>
        <w:spacing w:after="0" w:line="240" w:lineRule="auto"/>
        <w:jc w:val="both"/>
        <w:rPr>
          <w:rFonts w:ascii="Arial" w:eastAsia="Arial" w:hAnsi="Arial" w:cs="Arial"/>
        </w:rPr>
      </w:pPr>
      <w:r>
        <w:rPr>
          <w:rFonts w:ascii="Arial" w:eastAsia="Arial" w:hAnsi="Arial" w:cs="Arial"/>
        </w:rPr>
        <w:t>Pre factibilidad de suministros de los servicios expedidos por los Organismos Oficiales (EPEN, CAMUZZI y MUNICIPALIDAD, etc.) y/o los proyectos para la dotación de los mismos, según corresponda, siendo rechazados aquellos proyectos que no cuenten con la factibilidad de los servicios Eléctricos o de agua potable.</w:t>
      </w:r>
    </w:p>
    <w:p w14:paraId="68763912" w14:textId="77777777" w:rsidR="00760340" w:rsidRDefault="004E6F15">
      <w:pPr>
        <w:numPr>
          <w:ilvl w:val="0"/>
          <w:numId w:val="3"/>
        </w:numPr>
        <w:spacing w:after="0" w:line="240" w:lineRule="auto"/>
        <w:jc w:val="both"/>
        <w:rPr>
          <w:rFonts w:ascii="Arial" w:eastAsia="Arial" w:hAnsi="Arial" w:cs="Arial"/>
        </w:rPr>
      </w:pPr>
      <w:r>
        <w:rPr>
          <w:rFonts w:ascii="Arial" w:eastAsia="Arial" w:hAnsi="Arial" w:cs="Arial"/>
        </w:rPr>
        <w:t>Plano de zona de implantación.</w:t>
      </w:r>
    </w:p>
    <w:p w14:paraId="1A785B88" w14:textId="77777777" w:rsidR="00760340" w:rsidRDefault="004E6F15">
      <w:pPr>
        <w:numPr>
          <w:ilvl w:val="0"/>
          <w:numId w:val="3"/>
        </w:numPr>
        <w:spacing w:after="0" w:line="240" w:lineRule="auto"/>
        <w:jc w:val="both"/>
        <w:rPr>
          <w:rFonts w:ascii="Arial" w:eastAsia="Arial" w:hAnsi="Arial" w:cs="Arial"/>
        </w:rPr>
      </w:pPr>
      <w:r>
        <w:rPr>
          <w:rFonts w:ascii="Arial" w:eastAsia="Arial" w:hAnsi="Arial" w:cs="Arial"/>
        </w:rPr>
        <w:t>Plano de área de afectación del lote.</w:t>
      </w:r>
    </w:p>
    <w:p w14:paraId="165C2AC7" w14:textId="161FD9D6" w:rsidR="00760340" w:rsidRDefault="004E6F15">
      <w:pPr>
        <w:numPr>
          <w:ilvl w:val="0"/>
          <w:numId w:val="3"/>
        </w:numPr>
        <w:spacing w:after="0" w:line="240" w:lineRule="auto"/>
        <w:rPr>
          <w:rFonts w:ascii="Arial" w:eastAsia="Arial" w:hAnsi="Arial" w:cs="Arial"/>
        </w:rPr>
      </w:pPr>
      <w:r>
        <w:rPr>
          <w:rFonts w:ascii="Arial" w:eastAsia="Arial" w:hAnsi="Arial" w:cs="Arial"/>
        </w:rPr>
        <w:t xml:space="preserve">Plano de proyecto para tratamiento de líquidos cloacales, en caso de realizar una Planta de Tratamiento, deberá contar con la aprobación técnica del EPAS y la autorización de permiso de vuelco otorgado por la Secretaria de Recursos Hídricos de la Provincia de </w:t>
      </w:r>
      <w:r w:rsidR="00786529">
        <w:rPr>
          <w:rFonts w:ascii="Arial" w:eastAsia="Arial" w:hAnsi="Arial" w:cs="Arial"/>
        </w:rPr>
        <w:t>Neuquén. -</w:t>
      </w:r>
      <w:r>
        <w:rPr>
          <w:rFonts w:ascii="Arial" w:eastAsia="Arial" w:hAnsi="Arial" w:cs="Arial"/>
        </w:rPr>
        <w:t xml:space="preserve">            </w:t>
      </w:r>
      <w:r>
        <w:rPr>
          <w:rFonts w:ascii="Arial" w:eastAsia="Arial" w:hAnsi="Arial" w:cs="Arial"/>
        </w:rPr>
        <w:tab/>
      </w:r>
    </w:p>
    <w:p w14:paraId="68E1DAE0" w14:textId="77777777" w:rsidR="00760340" w:rsidRDefault="004E6F15">
      <w:pPr>
        <w:spacing w:after="0" w:line="240" w:lineRule="auto"/>
        <w:ind w:left="1300" w:hanging="360"/>
        <w:jc w:val="both"/>
        <w:rPr>
          <w:rFonts w:ascii="Arial" w:eastAsia="Arial" w:hAnsi="Arial" w:cs="Arial"/>
        </w:rPr>
      </w:pPr>
      <w:r>
        <w:rPr>
          <w:rFonts w:ascii="Arial" w:eastAsia="Arial" w:hAnsi="Arial" w:cs="Arial"/>
        </w:rPr>
        <w:t>a)</w:t>
      </w:r>
      <w:r>
        <w:rPr>
          <w:rFonts w:ascii="Times New Roman" w:eastAsia="Times New Roman" w:hAnsi="Times New Roman" w:cs="Times New Roman"/>
          <w:sz w:val="14"/>
          <w:szCs w:val="14"/>
        </w:rPr>
        <w:t xml:space="preserve">    </w:t>
      </w:r>
      <w:r>
        <w:rPr>
          <w:rFonts w:ascii="Arial" w:eastAsia="Arial" w:hAnsi="Arial" w:cs="Arial"/>
        </w:rPr>
        <w:t>Su aprobación estará condicionada a la factibilidad de dotación de los servicios expedida por los Organismos correspondientes o a la presentación de proyecto de servicio, elaborada por un profesional competente y aprobada por el organismo de aplicación (Epen, Municipalidad, Camuzzi, etc.)</w:t>
      </w:r>
    </w:p>
    <w:p w14:paraId="3B96A143" w14:textId="77777777" w:rsidR="00760340" w:rsidRDefault="004E6F15">
      <w:pPr>
        <w:spacing w:after="0" w:line="240" w:lineRule="auto"/>
        <w:ind w:left="1300" w:hanging="360"/>
        <w:jc w:val="both"/>
        <w:rPr>
          <w:rFonts w:ascii="Arial" w:eastAsia="Arial" w:hAnsi="Arial" w:cs="Arial"/>
        </w:rPr>
      </w:pPr>
      <w:r>
        <w:rPr>
          <w:rFonts w:ascii="Arial" w:eastAsia="Arial" w:hAnsi="Arial" w:cs="Arial"/>
        </w:rPr>
        <w:t>b)</w:t>
      </w:r>
      <w:r>
        <w:rPr>
          <w:rFonts w:ascii="Times New Roman" w:eastAsia="Times New Roman" w:hAnsi="Times New Roman" w:cs="Times New Roman"/>
          <w:sz w:val="14"/>
          <w:szCs w:val="14"/>
        </w:rPr>
        <w:t xml:space="preserve">    </w:t>
      </w:r>
      <w:r>
        <w:rPr>
          <w:rFonts w:ascii="Arial" w:eastAsia="Arial" w:hAnsi="Arial" w:cs="Arial"/>
        </w:rPr>
        <w:t xml:space="preserve">Será rechazado el sistema de caminos que iguale o supere el 50% del FOS del predio.            </w:t>
      </w:r>
      <w:r>
        <w:rPr>
          <w:rFonts w:ascii="Arial" w:eastAsia="Arial" w:hAnsi="Arial" w:cs="Arial"/>
        </w:rPr>
        <w:tab/>
      </w:r>
    </w:p>
    <w:p w14:paraId="1CB551AC" w14:textId="77777777" w:rsidR="00760340" w:rsidRDefault="004E6F15">
      <w:pPr>
        <w:spacing w:after="0" w:line="240" w:lineRule="auto"/>
        <w:ind w:left="1300" w:hanging="360"/>
        <w:jc w:val="both"/>
        <w:rPr>
          <w:rFonts w:ascii="Arial" w:eastAsia="Arial" w:hAnsi="Arial" w:cs="Arial"/>
        </w:rPr>
      </w:pPr>
      <w:r>
        <w:rPr>
          <w:rFonts w:ascii="Arial" w:eastAsia="Arial" w:hAnsi="Arial" w:cs="Arial"/>
        </w:rPr>
        <w:t>c)</w:t>
      </w:r>
      <w:r>
        <w:rPr>
          <w:rFonts w:ascii="Times New Roman" w:eastAsia="Times New Roman" w:hAnsi="Times New Roman" w:cs="Times New Roman"/>
          <w:sz w:val="14"/>
          <w:szCs w:val="14"/>
        </w:rPr>
        <w:t xml:space="preserve">     </w:t>
      </w:r>
      <w:r>
        <w:rPr>
          <w:rFonts w:ascii="Arial" w:eastAsia="Arial" w:hAnsi="Arial" w:cs="Arial"/>
        </w:rPr>
        <w:t>El visado previo no acredita, ni genera derechos sobre el proyecto presentado</w:t>
      </w:r>
    </w:p>
    <w:p w14:paraId="730AEE27" w14:textId="14F15E68" w:rsidR="00760340" w:rsidRDefault="004E6F15">
      <w:pPr>
        <w:spacing w:before="280" w:after="280" w:line="276" w:lineRule="auto"/>
        <w:jc w:val="both"/>
        <w:rPr>
          <w:rFonts w:ascii="Arial" w:eastAsia="Arial" w:hAnsi="Arial" w:cs="Arial"/>
        </w:rPr>
      </w:pPr>
      <w:r>
        <w:rPr>
          <w:rFonts w:ascii="Arial" w:eastAsia="Arial" w:hAnsi="Arial" w:cs="Arial"/>
          <w:b/>
          <w:bCs/>
        </w:rPr>
        <w:t>ARTÍCULO 2°: ESTABLÉCESE</w:t>
      </w:r>
      <w:r>
        <w:rPr>
          <w:rFonts w:ascii="Arial" w:eastAsia="Arial" w:hAnsi="Arial" w:cs="Arial"/>
        </w:rPr>
        <w:t xml:space="preserve"> que el régimen de acreditación previsto en el art</w:t>
      </w:r>
      <w:r w:rsidR="00147E75">
        <w:rPr>
          <w:rFonts w:ascii="Arial" w:eastAsia="Arial" w:hAnsi="Arial" w:cs="Arial"/>
        </w:rPr>
        <w:t>ículo</w:t>
      </w:r>
      <w:r>
        <w:rPr>
          <w:rFonts w:ascii="Arial" w:eastAsia="Arial" w:hAnsi="Arial" w:cs="Arial"/>
        </w:rPr>
        <w:t xml:space="preserve"> anterior será exigible para las presentaciones efectuadas en instancia de Visado Previo, Aprobación de Proyecto y para todo otro trámite previsto por el Código de Edificación en el cual resulte exigible acreditar la propiedad, titularidad o legitimación respecto del inmueble.</w:t>
      </w:r>
    </w:p>
    <w:p w14:paraId="055F30A1" w14:textId="77777777" w:rsidR="00760340" w:rsidRDefault="004E6F15">
      <w:pPr>
        <w:spacing w:before="280" w:after="280" w:line="276" w:lineRule="auto"/>
        <w:jc w:val="both"/>
        <w:rPr>
          <w:rFonts w:ascii="Arial" w:eastAsia="Arial" w:hAnsi="Arial" w:cs="Arial"/>
        </w:rPr>
      </w:pPr>
      <w:r>
        <w:rPr>
          <w:rFonts w:ascii="Arial" w:eastAsia="Arial" w:hAnsi="Arial" w:cs="Arial"/>
        </w:rPr>
        <w:t>La presentación para Aprobación de Proyecto podrá efectuarse directamente, sin que resulte obligatoria la tramitación previa del Visado Previo, sin perjuicio de aquellos supuestos en los que una disposición específica establezca expresamente dicho requisito.</w:t>
      </w:r>
    </w:p>
    <w:p w14:paraId="2FD937AD" w14:textId="77777777" w:rsidR="00760340" w:rsidRDefault="004E6F15">
      <w:pPr>
        <w:spacing w:before="280" w:after="280" w:line="276" w:lineRule="auto"/>
        <w:jc w:val="both"/>
        <w:rPr>
          <w:rFonts w:ascii="Arial" w:eastAsia="Arial" w:hAnsi="Arial" w:cs="Arial"/>
        </w:rPr>
      </w:pPr>
      <w:r>
        <w:rPr>
          <w:rFonts w:ascii="Arial" w:eastAsia="Arial" w:hAnsi="Arial" w:cs="Arial"/>
          <w:b/>
          <w:bCs/>
        </w:rPr>
        <w:t>ARTÍCULO 3°: DÉJASE</w:t>
      </w:r>
      <w:r>
        <w:rPr>
          <w:rFonts w:ascii="Arial" w:eastAsia="Arial" w:hAnsi="Arial" w:cs="Arial"/>
        </w:rPr>
        <w:t xml:space="preserve"> expresamente establecido que la documentación admitida conforme al punto 3.4.2 tiene por objeto acreditar, exclusivamente a los efectos del procedimiento administrativo municipal, la titularidad del inmueble o la legitimación suficiente para promover el trámite correspondiente.</w:t>
      </w:r>
    </w:p>
    <w:p w14:paraId="3B39C19D" w14:textId="77777777" w:rsidR="00760340" w:rsidRDefault="004E6F15">
      <w:pPr>
        <w:spacing w:before="280" w:after="280" w:line="276" w:lineRule="auto"/>
        <w:jc w:val="both"/>
        <w:rPr>
          <w:rFonts w:ascii="Arial" w:eastAsia="Arial" w:hAnsi="Arial" w:cs="Arial"/>
        </w:rPr>
      </w:pPr>
      <w:r>
        <w:rPr>
          <w:rFonts w:ascii="Arial" w:eastAsia="Arial" w:hAnsi="Arial" w:cs="Arial"/>
        </w:rPr>
        <w:lastRenderedPageBreak/>
        <w:t>La admisión de dicha documentación no implica reconocimiento, constitución, transmisión ni modificación de derechos reales por parte de la Municipalidad, ni importa convalidación o regularización de situaciones dominiales.</w:t>
      </w:r>
    </w:p>
    <w:p w14:paraId="31C56EBD" w14:textId="77777777" w:rsidR="00760340" w:rsidRDefault="004E6F15">
      <w:pPr>
        <w:spacing w:before="280" w:after="280" w:line="276" w:lineRule="auto"/>
        <w:jc w:val="both"/>
        <w:rPr>
          <w:rFonts w:ascii="Arial" w:eastAsia="Arial" w:hAnsi="Arial" w:cs="Arial"/>
        </w:rPr>
      </w:pPr>
      <w:r>
        <w:rPr>
          <w:rFonts w:ascii="Arial" w:eastAsia="Arial" w:hAnsi="Arial" w:cs="Arial"/>
          <w:b/>
          <w:bCs/>
        </w:rPr>
        <w:t>ARTÍCULO 4°: DERÓGASE</w:t>
      </w:r>
      <w:r>
        <w:rPr>
          <w:rFonts w:ascii="Arial" w:eastAsia="Arial" w:hAnsi="Arial" w:cs="Arial"/>
        </w:rPr>
        <w:t xml:space="preserve"> la Ordenanza Nº 2167/08 y la Ordenanza 3302/17.</w:t>
      </w:r>
    </w:p>
    <w:p w14:paraId="7E36262B" w14:textId="7BCDFDF4" w:rsidR="00760340" w:rsidRDefault="004E6F15">
      <w:pPr>
        <w:spacing w:before="280" w:after="280" w:line="276" w:lineRule="auto"/>
        <w:jc w:val="both"/>
        <w:rPr>
          <w:rFonts w:ascii="Arial" w:eastAsia="Arial" w:hAnsi="Arial" w:cs="Arial"/>
        </w:rPr>
      </w:pPr>
      <w:r>
        <w:rPr>
          <w:rFonts w:ascii="Arial" w:eastAsia="Arial" w:hAnsi="Arial" w:cs="Arial"/>
          <w:b/>
          <w:bCs/>
        </w:rPr>
        <w:t>ARTÍCULO 5°: REMÍTASE</w:t>
      </w:r>
      <w:r>
        <w:rPr>
          <w:rFonts w:ascii="Arial" w:eastAsia="Arial" w:hAnsi="Arial" w:cs="Arial"/>
        </w:rPr>
        <w:t xml:space="preserve"> copia de la presente Ordenanza a la Secretaría de Planeamiento, Ambiente y Obras Públicas, Dirección de Obras Particulares y al Colegio de Arquitectos de la Provincia del </w:t>
      </w:r>
      <w:r w:rsidR="00786529">
        <w:rPr>
          <w:rFonts w:ascii="Arial" w:eastAsia="Arial" w:hAnsi="Arial" w:cs="Arial"/>
        </w:rPr>
        <w:t>Neuquén, Regional</w:t>
      </w:r>
      <w:r>
        <w:rPr>
          <w:rFonts w:ascii="Arial" w:eastAsia="Arial" w:hAnsi="Arial" w:cs="Arial"/>
        </w:rPr>
        <w:t xml:space="preserve"> 4, Villa La Angostura para su conocimiento y aplicación.</w:t>
      </w:r>
    </w:p>
    <w:p w14:paraId="2B7E0DFC" w14:textId="4A84266C" w:rsidR="00172FB2" w:rsidRDefault="004E6F15" w:rsidP="000F35DF">
      <w:pPr>
        <w:spacing w:after="0" w:line="240" w:lineRule="auto"/>
        <w:jc w:val="center"/>
        <w:rPr>
          <w:rFonts w:ascii="Arial" w:eastAsia="Arial" w:hAnsi="Arial" w:cs="Arial"/>
          <w:lang w:val="es-ES"/>
        </w:rPr>
      </w:pPr>
      <w:r>
        <w:rPr>
          <w:rFonts w:ascii="Arial" w:eastAsia="Arial" w:hAnsi="Arial" w:cs="Arial"/>
          <w:b/>
          <w:bCs/>
        </w:rPr>
        <w:t>ARTÍCULO 6°: PASE</w:t>
      </w:r>
      <w:r>
        <w:rPr>
          <w:rFonts w:ascii="Arial" w:eastAsia="Arial" w:hAnsi="Arial" w:cs="Arial"/>
        </w:rPr>
        <w:t xml:space="preserve"> al Departamento Ejecutivo Municipal para su promulgación. Comuníquese. Regístrese. Publíquese. Cumplido, archívese.</w:t>
      </w:r>
      <w:r>
        <w:rPr>
          <w:rFonts w:ascii="Arial" w:eastAsia="Arial" w:hAnsi="Arial" w:cs="Arial"/>
        </w:rPr>
        <w:br/>
      </w:r>
      <w:r>
        <w:rPr>
          <w:rFonts w:ascii="Arial" w:eastAsia="Arial" w:hAnsi="Arial" w:cs="Arial"/>
        </w:rPr>
        <w:br/>
      </w:r>
      <w:r w:rsidR="00172FB2">
        <w:rPr>
          <w:rFonts w:ascii="Arial" w:eastAsia="Arial" w:hAnsi="Arial" w:cs="Arial"/>
          <w:lang w:val="es-ES"/>
        </w:rPr>
        <w:t xml:space="preserve"> </w:t>
      </w:r>
      <w:r w:rsidR="00172FB2">
        <w:rPr>
          <w:rFonts w:ascii="Arial" w:eastAsia="Arial" w:hAnsi="Arial" w:cs="Arial"/>
        </w:rPr>
        <w:t xml:space="preserve">  </w:t>
      </w:r>
      <w:r w:rsidR="00172FB2">
        <w:rPr>
          <w:rFonts w:ascii="Arial" w:eastAsia="Arial" w:hAnsi="Arial" w:cs="Arial"/>
          <w:lang w:val="es-ES"/>
        </w:rPr>
        <w:t>Dada en la Sala de Sesiones Don Humberto Rolando del Concejo Deliberante, a los 28 días del mes de octubre del año 2026, en Sesión Ordinaria N° XVIII, Acta N° 2008</w:t>
      </w:r>
      <w:r w:rsidR="000F35DF">
        <w:rPr>
          <w:rFonts w:ascii="Arial" w:eastAsia="Arial" w:hAnsi="Arial" w:cs="Arial"/>
          <w:lang w:val="es-ES"/>
        </w:rPr>
        <w:t>.-</w:t>
      </w:r>
    </w:p>
    <w:p w14:paraId="4043C158" w14:textId="77777777" w:rsidR="000F35DF" w:rsidRDefault="000F35DF">
      <w:pPr>
        <w:spacing w:after="0" w:line="276" w:lineRule="auto"/>
        <w:jc w:val="both"/>
        <w:rPr>
          <w:rFonts w:ascii="Arial" w:eastAsia="Arial" w:hAnsi="Arial" w:cs="Arial"/>
        </w:rPr>
      </w:pPr>
    </w:p>
    <w:p w14:paraId="1360CBCD" w14:textId="77777777" w:rsidR="007820E7" w:rsidRDefault="004E6F15" w:rsidP="007820E7">
      <w:pPr>
        <w:spacing w:after="0" w:line="240" w:lineRule="auto"/>
        <w:ind w:right="-697"/>
        <w:rPr>
          <w:rFonts w:ascii="Arial" w:eastAsia="Arial" w:hAnsi="Arial" w:cs="Arial"/>
        </w:rPr>
      </w:pPr>
      <w:r>
        <w:rPr>
          <w:rFonts w:ascii="Arial" w:eastAsia="Arial" w:hAnsi="Arial" w:cs="Arial"/>
          <w:b/>
          <w:bCs/>
        </w:rPr>
        <w:t xml:space="preserve"> </w:t>
      </w:r>
      <w:r w:rsidR="007820E7">
        <w:rPr>
          <w:rFonts w:ascii="Arial" w:eastAsia="Arial" w:hAnsi="Arial" w:cs="Arial"/>
        </w:rPr>
        <w:t>Autor/es:</w:t>
      </w:r>
    </w:p>
    <w:p w14:paraId="03772269" w14:textId="77777777" w:rsidR="007820E7" w:rsidRDefault="007820E7" w:rsidP="007820E7">
      <w:pPr>
        <w:spacing w:after="0" w:line="240" w:lineRule="auto"/>
        <w:ind w:right="-697"/>
        <w:rPr>
          <w:rFonts w:ascii="Arial" w:eastAsia="Arial" w:hAnsi="Arial" w:cs="Arial"/>
        </w:rPr>
      </w:pPr>
      <w:r>
        <w:rPr>
          <w:rFonts w:ascii="Arial" w:eastAsia="Arial" w:hAnsi="Arial" w:cs="Arial"/>
        </w:rPr>
        <w:t>Concejal Sebastián Raimondo (Bloque Comunidad)</w:t>
      </w:r>
    </w:p>
    <w:p w14:paraId="0C6FCCB2" w14:textId="77777777" w:rsidR="007820E7" w:rsidRPr="008D1BFA" w:rsidRDefault="007820E7" w:rsidP="007820E7">
      <w:pPr>
        <w:spacing w:after="0" w:line="240" w:lineRule="auto"/>
        <w:ind w:right="-697"/>
        <w:rPr>
          <w:rFonts w:ascii="Arial" w:eastAsia="Arial" w:hAnsi="Arial" w:cs="Arial"/>
        </w:rPr>
      </w:pPr>
      <w:r>
        <w:rPr>
          <w:rFonts w:ascii="Arial" w:eastAsia="Arial" w:hAnsi="Arial" w:cs="Arial"/>
        </w:rPr>
        <w:t>Concejal Noelia Elisabet Figueroa (Bloque Comunidad)</w:t>
      </w:r>
    </w:p>
    <w:p w14:paraId="36F56E04" w14:textId="380C8522" w:rsidR="00760340" w:rsidRDefault="00760340">
      <w:pPr>
        <w:spacing w:after="0" w:line="276" w:lineRule="auto"/>
        <w:jc w:val="both"/>
        <w:rPr>
          <w:rFonts w:ascii="Arial" w:eastAsia="Arial" w:hAnsi="Arial" w:cs="Arial"/>
          <w:b/>
          <w:bCs/>
        </w:rPr>
      </w:pPr>
    </w:p>
    <w:tbl>
      <w:tblPr>
        <w:tblStyle w:val="a0"/>
        <w:tblW w:w="853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435"/>
        <w:gridCol w:w="3075"/>
        <w:gridCol w:w="2025"/>
      </w:tblGrid>
      <w:tr w:rsidR="00760340" w14:paraId="71BFC903" w14:textId="77777777">
        <w:trPr>
          <w:trHeight w:val="285"/>
        </w:trPr>
        <w:tc>
          <w:tcPr>
            <w:tcW w:w="3435"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008A55E4" w14:textId="77777777" w:rsidR="00760340" w:rsidRDefault="004E6F15">
            <w:pPr>
              <w:spacing w:after="0" w:line="276" w:lineRule="auto"/>
              <w:ind w:left="100" w:right="100"/>
              <w:jc w:val="center"/>
              <w:rPr>
                <w:rFonts w:ascii="Arial" w:eastAsia="Arial" w:hAnsi="Arial" w:cs="Arial"/>
                <w:b/>
                <w:bCs/>
              </w:rPr>
            </w:pPr>
            <w:r>
              <w:rPr>
                <w:rFonts w:ascii="Arial" w:eastAsia="Arial" w:hAnsi="Arial" w:cs="Arial"/>
                <w:b/>
                <w:bCs/>
              </w:rPr>
              <w:t>NOMBRE Y APELLIDO</w:t>
            </w:r>
          </w:p>
        </w:tc>
        <w:tc>
          <w:tcPr>
            <w:tcW w:w="307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560DB56A" w14:textId="77777777" w:rsidR="00760340" w:rsidRDefault="004E6F15">
            <w:pPr>
              <w:spacing w:after="0" w:line="276" w:lineRule="auto"/>
              <w:ind w:left="100" w:right="100"/>
              <w:jc w:val="center"/>
              <w:rPr>
                <w:rFonts w:ascii="Arial" w:eastAsia="Arial" w:hAnsi="Arial" w:cs="Arial"/>
                <w:b/>
                <w:bCs/>
              </w:rPr>
            </w:pPr>
            <w:r>
              <w:rPr>
                <w:rFonts w:ascii="Arial" w:eastAsia="Arial" w:hAnsi="Arial" w:cs="Arial"/>
                <w:b/>
                <w:bCs/>
              </w:rPr>
              <w:t>FACCIÓN POLÍTICA</w:t>
            </w:r>
          </w:p>
        </w:tc>
        <w:tc>
          <w:tcPr>
            <w:tcW w:w="202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6F57614" w14:textId="77777777" w:rsidR="00760340" w:rsidRDefault="004E6F15">
            <w:pPr>
              <w:spacing w:after="0" w:line="276" w:lineRule="auto"/>
              <w:ind w:left="100" w:right="100"/>
              <w:jc w:val="center"/>
              <w:rPr>
                <w:rFonts w:ascii="Arial" w:eastAsia="Arial" w:hAnsi="Arial" w:cs="Arial"/>
                <w:b/>
                <w:bCs/>
              </w:rPr>
            </w:pPr>
            <w:r>
              <w:rPr>
                <w:rFonts w:ascii="Arial" w:eastAsia="Arial" w:hAnsi="Arial" w:cs="Arial"/>
                <w:b/>
                <w:bCs/>
              </w:rPr>
              <w:t>VOTO</w:t>
            </w:r>
          </w:p>
        </w:tc>
      </w:tr>
      <w:tr w:rsidR="00760340" w14:paraId="37D423D2" w14:textId="77777777">
        <w:trPr>
          <w:trHeight w:val="285"/>
        </w:trPr>
        <w:tc>
          <w:tcPr>
            <w:tcW w:w="343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58F5992" w14:textId="77777777" w:rsidR="00760340" w:rsidRDefault="004E6F15">
            <w:pPr>
              <w:spacing w:after="0" w:line="276" w:lineRule="auto"/>
              <w:ind w:left="100" w:right="-20"/>
              <w:jc w:val="center"/>
              <w:rPr>
                <w:rFonts w:ascii="Arial" w:eastAsia="Arial" w:hAnsi="Arial" w:cs="Arial"/>
              </w:rPr>
            </w:pPr>
            <w:r>
              <w:rPr>
                <w:rFonts w:ascii="Arial" w:eastAsia="Arial" w:hAnsi="Arial" w:cs="Arial"/>
              </w:rPr>
              <w:t>Sebastián Raimondo</w:t>
            </w:r>
          </w:p>
        </w:tc>
        <w:tc>
          <w:tcPr>
            <w:tcW w:w="3075" w:type="dxa"/>
            <w:tcBorders>
              <w:top w:val="nil"/>
              <w:left w:val="nil"/>
              <w:bottom w:val="single" w:sz="7" w:space="0" w:color="000000"/>
              <w:right w:val="single" w:sz="7" w:space="0" w:color="000000"/>
            </w:tcBorders>
            <w:tcMar>
              <w:top w:w="0" w:type="dxa"/>
              <w:left w:w="100" w:type="dxa"/>
              <w:bottom w:w="0" w:type="dxa"/>
              <w:right w:w="100" w:type="dxa"/>
            </w:tcMar>
          </w:tcPr>
          <w:p w14:paraId="476C1C04" w14:textId="77777777" w:rsidR="00760340" w:rsidRDefault="004E6F15">
            <w:pPr>
              <w:spacing w:after="0" w:line="276" w:lineRule="auto"/>
              <w:ind w:left="100" w:right="100"/>
              <w:jc w:val="center"/>
              <w:rPr>
                <w:rFonts w:ascii="Arial" w:eastAsia="Arial" w:hAnsi="Arial" w:cs="Arial"/>
              </w:rPr>
            </w:pPr>
            <w:r>
              <w:rPr>
                <w:rFonts w:ascii="Arial" w:eastAsia="Arial" w:hAnsi="Arial" w:cs="Arial"/>
              </w:rPr>
              <w:t>Comunidad</w:t>
            </w:r>
          </w:p>
        </w:tc>
        <w:tc>
          <w:tcPr>
            <w:tcW w:w="2025" w:type="dxa"/>
            <w:tcBorders>
              <w:top w:val="nil"/>
              <w:left w:val="nil"/>
              <w:bottom w:val="single" w:sz="7" w:space="0" w:color="000000"/>
              <w:right w:val="single" w:sz="7" w:space="0" w:color="000000"/>
            </w:tcBorders>
            <w:tcMar>
              <w:top w:w="0" w:type="dxa"/>
              <w:left w:w="100" w:type="dxa"/>
              <w:bottom w:w="0" w:type="dxa"/>
              <w:right w:w="100" w:type="dxa"/>
            </w:tcMar>
          </w:tcPr>
          <w:p w14:paraId="197BA776" w14:textId="0A849CEE" w:rsidR="00760340" w:rsidRDefault="004E6F15">
            <w:pPr>
              <w:spacing w:after="0" w:line="276" w:lineRule="auto"/>
              <w:ind w:left="100" w:right="100"/>
              <w:jc w:val="center"/>
              <w:rPr>
                <w:rFonts w:ascii="Arial" w:eastAsia="Arial" w:hAnsi="Arial" w:cs="Arial"/>
              </w:rPr>
            </w:pPr>
            <w:r>
              <w:rPr>
                <w:rFonts w:ascii="Arial" w:eastAsia="Arial" w:hAnsi="Arial" w:cs="Arial"/>
              </w:rPr>
              <w:t xml:space="preserve"> </w:t>
            </w:r>
            <w:r w:rsidR="007820E7">
              <w:rPr>
                <w:rFonts w:ascii="Arial" w:eastAsia="Arial" w:hAnsi="Arial" w:cs="Arial"/>
              </w:rPr>
              <w:t>+1</w:t>
            </w:r>
          </w:p>
        </w:tc>
      </w:tr>
      <w:tr w:rsidR="00760340" w14:paraId="614DFE3D" w14:textId="77777777">
        <w:trPr>
          <w:trHeight w:val="285"/>
        </w:trPr>
        <w:tc>
          <w:tcPr>
            <w:tcW w:w="343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606F13D7" w14:textId="77777777" w:rsidR="00760340" w:rsidRDefault="004E6F15">
            <w:pPr>
              <w:spacing w:after="0" w:line="276" w:lineRule="auto"/>
              <w:ind w:left="100" w:right="100"/>
              <w:jc w:val="center"/>
              <w:rPr>
                <w:rFonts w:ascii="Arial" w:eastAsia="Arial" w:hAnsi="Arial" w:cs="Arial"/>
              </w:rPr>
            </w:pPr>
            <w:r>
              <w:rPr>
                <w:rFonts w:ascii="Arial" w:eastAsia="Arial" w:hAnsi="Arial" w:cs="Arial"/>
              </w:rPr>
              <w:t>María Eugenia Mesa</w:t>
            </w:r>
          </w:p>
        </w:tc>
        <w:tc>
          <w:tcPr>
            <w:tcW w:w="3075" w:type="dxa"/>
            <w:tcBorders>
              <w:top w:val="nil"/>
              <w:left w:val="nil"/>
              <w:bottom w:val="single" w:sz="7" w:space="0" w:color="000000"/>
              <w:right w:val="single" w:sz="7" w:space="0" w:color="000000"/>
            </w:tcBorders>
            <w:tcMar>
              <w:top w:w="0" w:type="dxa"/>
              <w:left w:w="100" w:type="dxa"/>
              <w:bottom w:w="0" w:type="dxa"/>
              <w:right w:w="100" w:type="dxa"/>
            </w:tcMar>
          </w:tcPr>
          <w:p w14:paraId="2059162B" w14:textId="77777777" w:rsidR="00760340" w:rsidRDefault="004E6F15">
            <w:pPr>
              <w:spacing w:after="0" w:line="276" w:lineRule="auto"/>
              <w:ind w:left="100" w:right="100"/>
              <w:jc w:val="center"/>
              <w:rPr>
                <w:rFonts w:ascii="Arial" w:eastAsia="Arial" w:hAnsi="Arial" w:cs="Arial"/>
              </w:rPr>
            </w:pPr>
            <w:r>
              <w:rPr>
                <w:rFonts w:ascii="Arial" w:eastAsia="Arial" w:hAnsi="Arial" w:cs="Arial"/>
              </w:rPr>
              <w:t>Amor por Angostura</w:t>
            </w:r>
          </w:p>
        </w:tc>
        <w:tc>
          <w:tcPr>
            <w:tcW w:w="2025" w:type="dxa"/>
            <w:tcBorders>
              <w:top w:val="nil"/>
              <w:left w:val="nil"/>
              <w:bottom w:val="single" w:sz="7" w:space="0" w:color="000000"/>
              <w:right w:val="single" w:sz="7" w:space="0" w:color="000000"/>
            </w:tcBorders>
            <w:tcMar>
              <w:top w:w="0" w:type="dxa"/>
              <w:left w:w="100" w:type="dxa"/>
              <w:bottom w:w="0" w:type="dxa"/>
              <w:right w:w="100" w:type="dxa"/>
            </w:tcMar>
          </w:tcPr>
          <w:p w14:paraId="14B43B27" w14:textId="27AFBCA7" w:rsidR="00760340" w:rsidRDefault="004E6F15">
            <w:pPr>
              <w:spacing w:after="0" w:line="276" w:lineRule="auto"/>
              <w:ind w:left="100" w:right="100"/>
              <w:jc w:val="center"/>
              <w:rPr>
                <w:rFonts w:ascii="Arial" w:eastAsia="Arial" w:hAnsi="Arial" w:cs="Arial"/>
              </w:rPr>
            </w:pPr>
            <w:r>
              <w:rPr>
                <w:rFonts w:ascii="Arial" w:eastAsia="Arial" w:hAnsi="Arial" w:cs="Arial"/>
              </w:rPr>
              <w:t xml:space="preserve"> </w:t>
            </w:r>
            <w:r w:rsidR="007820E7">
              <w:rPr>
                <w:rFonts w:ascii="Arial" w:eastAsia="Arial" w:hAnsi="Arial" w:cs="Arial"/>
              </w:rPr>
              <w:t>Abstención</w:t>
            </w:r>
          </w:p>
        </w:tc>
      </w:tr>
      <w:tr w:rsidR="00760340" w14:paraId="4E1EB41E" w14:textId="77777777">
        <w:trPr>
          <w:trHeight w:val="285"/>
        </w:trPr>
        <w:tc>
          <w:tcPr>
            <w:tcW w:w="343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81F5769" w14:textId="77777777" w:rsidR="00760340" w:rsidRDefault="004E6F15">
            <w:pPr>
              <w:spacing w:after="0" w:line="276" w:lineRule="auto"/>
              <w:ind w:left="100" w:right="100"/>
              <w:jc w:val="center"/>
              <w:rPr>
                <w:rFonts w:ascii="Arial" w:eastAsia="Arial" w:hAnsi="Arial" w:cs="Arial"/>
              </w:rPr>
            </w:pPr>
            <w:r>
              <w:rPr>
                <w:rFonts w:ascii="Arial" w:eastAsia="Arial" w:hAnsi="Arial" w:cs="Arial"/>
              </w:rPr>
              <w:t>María Eugenia Ceraso</w:t>
            </w:r>
          </w:p>
        </w:tc>
        <w:tc>
          <w:tcPr>
            <w:tcW w:w="3075" w:type="dxa"/>
            <w:tcBorders>
              <w:top w:val="nil"/>
              <w:left w:val="nil"/>
              <w:bottom w:val="single" w:sz="7" w:space="0" w:color="000000"/>
              <w:right w:val="single" w:sz="7" w:space="0" w:color="000000"/>
            </w:tcBorders>
            <w:tcMar>
              <w:top w:w="0" w:type="dxa"/>
              <w:left w:w="100" w:type="dxa"/>
              <w:bottom w:w="0" w:type="dxa"/>
              <w:right w:w="100" w:type="dxa"/>
            </w:tcMar>
          </w:tcPr>
          <w:p w14:paraId="3569042D" w14:textId="77777777" w:rsidR="00760340" w:rsidRDefault="004E6F15">
            <w:pPr>
              <w:spacing w:after="0" w:line="276" w:lineRule="auto"/>
              <w:ind w:left="100" w:right="100"/>
              <w:jc w:val="center"/>
              <w:rPr>
                <w:rFonts w:ascii="Arial" w:eastAsia="Arial" w:hAnsi="Arial" w:cs="Arial"/>
              </w:rPr>
            </w:pPr>
            <w:r>
              <w:rPr>
                <w:rFonts w:ascii="Arial" w:eastAsia="Arial" w:hAnsi="Arial" w:cs="Arial"/>
              </w:rPr>
              <w:t>Primero Angostura</w:t>
            </w:r>
          </w:p>
        </w:tc>
        <w:tc>
          <w:tcPr>
            <w:tcW w:w="2025" w:type="dxa"/>
            <w:tcBorders>
              <w:top w:val="nil"/>
              <w:left w:val="nil"/>
              <w:bottom w:val="single" w:sz="7" w:space="0" w:color="000000"/>
              <w:right w:val="single" w:sz="7" w:space="0" w:color="000000"/>
            </w:tcBorders>
            <w:tcMar>
              <w:top w:w="0" w:type="dxa"/>
              <w:left w:w="100" w:type="dxa"/>
              <w:bottom w:w="0" w:type="dxa"/>
              <w:right w:w="100" w:type="dxa"/>
            </w:tcMar>
          </w:tcPr>
          <w:p w14:paraId="18D2128F" w14:textId="3EFB0AA7" w:rsidR="00760340" w:rsidRDefault="004E6F15">
            <w:pPr>
              <w:spacing w:after="0" w:line="276" w:lineRule="auto"/>
              <w:ind w:left="100" w:right="100"/>
              <w:jc w:val="center"/>
              <w:rPr>
                <w:rFonts w:ascii="Arial" w:eastAsia="Arial" w:hAnsi="Arial" w:cs="Arial"/>
              </w:rPr>
            </w:pPr>
            <w:r>
              <w:rPr>
                <w:rFonts w:ascii="Arial" w:eastAsia="Arial" w:hAnsi="Arial" w:cs="Arial"/>
              </w:rPr>
              <w:t xml:space="preserve"> </w:t>
            </w:r>
            <w:r w:rsidR="007820E7">
              <w:rPr>
                <w:rFonts w:ascii="Arial" w:eastAsia="Arial" w:hAnsi="Arial" w:cs="Arial"/>
              </w:rPr>
              <w:t>+1</w:t>
            </w:r>
          </w:p>
        </w:tc>
      </w:tr>
      <w:tr w:rsidR="00760340" w14:paraId="1B58B47E" w14:textId="77777777">
        <w:trPr>
          <w:trHeight w:val="285"/>
        </w:trPr>
        <w:tc>
          <w:tcPr>
            <w:tcW w:w="343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AF0B745" w14:textId="77777777" w:rsidR="00760340" w:rsidRDefault="004E6F15">
            <w:pPr>
              <w:spacing w:after="0" w:line="276" w:lineRule="auto"/>
              <w:ind w:left="100" w:right="100"/>
              <w:jc w:val="center"/>
              <w:rPr>
                <w:rFonts w:ascii="Arial" w:eastAsia="Arial" w:hAnsi="Arial" w:cs="Arial"/>
              </w:rPr>
            </w:pPr>
            <w:r>
              <w:rPr>
                <w:rFonts w:ascii="Arial" w:eastAsia="Arial" w:hAnsi="Arial" w:cs="Arial"/>
              </w:rPr>
              <w:t>Raúl Ariel Herrera</w:t>
            </w:r>
          </w:p>
        </w:tc>
        <w:tc>
          <w:tcPr>
            <w:tcW w:w="3075" w:type="dxa"/>
            <w:tcBorders>
              <w:top w:val="nil"/>
              <w:left w:val="nil"/>
              <w:bottom w:val="single" w:sz="7" w:space="0" w:color="000000"/>
              <w:right w:val="single" w:sz="7" w:space="0" w:color="000000"/>
            </w:tcBorders>
            <w:tcMar>
              <w:top w:w="0" w:type="dxa"/>
              <w:left w:w="100" w:type="dxa"/>
              <w:bottom w:w="0" w:type="dxa"/>
              <w:right w:w="100" w:type="dxa"/>
            </w:tcMar>
          </w:tcPr>
          <w:p w14:paraId="4FB399C6" w14:textId="77777777" w:rsidR="00760340" w:rsidRDefault="004E6F15">
            <w:pPr>
              <w:spacing w:after="0" w:line="276" w:lineRule="auto"/>
              <w:ind w:left="100" w:right="100"/>
              <w:jc w:val="center"/>
              <w:rPr>
                <w:rFonts w:ascii="Arial" w:eastAsia="Arial" w:hAnsi="Arial" w:cs="Arial"/>
              </w:rPr>
            </w:pPr>
            <w:r>
              <w:rPr>
                <w:rFonts w:ascii="Arial" w:eastAsia="Arial" w:hAnsi="Arial" w:cs="Arial"/>
              </w:rPr>
              <w:t>Juntos por el Cambio</w:t>
            </w:r>
          </w:p>
        </w:tc>
        <w:tc>
          <w:tcPr>
            <w:tcW w:w="2025" w:type="dxa"/>
            <w:tcBorders>
              <w:top w:val="nil"/>
              <w:left w:val="nil"/>
              <w:bottom w:val="single" w:sz="7" w:space="0" w:color="000000"/>
              <w:right w:val="single" w:sz="7" w:space="0" w:color="000000"/>
            </w:tcBorders>
            <w:tcMar>
              <w:top w:w="0" w:type="dxa"/>
              <w:left w:w="100" w:type="dxa"/>
              <w:bottom w:w="0" w:type="dxa"/>
              <w:right w:w="100" w:type="dxa"/>
            </w:tcMar>
          </w:tcPr>
          <w:p w14:paraId="381F1440" w14:textId="56C4E537" w:rsidR="00760340" w:rsidRDefault="004E6F15">
            <w:pPr>
              <w:spacing w:after="0" w:line="276" w:lineRule="auto"/>
              <w:ind w:left="100" w:right="100"/>
              <w:jc w:val="center"/>
              <w:rPr>
                <w:rFonts w:ascii="Arial" w:eastAsia="Arial" w:hAnsi="Arial" w:cs="Arial"/>
              </w:rPr>
            </w:pPr>
            <w:r>
              <w:rPr>
                <w:rFonts w:ascii="Arial" w:eastAsia="Arial" w:hAnsi="Arial" w:cs="Arial"/>
              </w:rPr>
              <w:t xml:space="preserve"> </w:t>
            </w:r>
            <w:r w:rsidR="007820E7">
              <w:rPr>
                <w:rFonts w:ascii="Arial" w:eastAsia="Arial" w:hAnsi="Arial" w:cs="Arial"/>
              </w:rPr>
              <w:t>+1</w:t>
            </w:r>
          </w:p>
        </w:tc>
      </w:tr>
      <w:tr w:rsidR="00760340" w14:paraId="45F5AC86" w14:textId="77777777">
        <w:trPr>
          <w:trHeight w:val="285"/>
        </w:trPr>
        <w:tc>
          <w:tcPr>
            <w:tcW w:w="343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5110610" w14:textId="77777777" w:rsidR="00760340" w:rsidRDefault="004E6F15">
            <w:pPr>
              <w:spacing w:after="0" w:line="276" w:lineRule="auto"/>
              <w:ind w:left="100" w:right="100"/>
              <w:jc w:val="center"/>
              <w:rPr>
                <w:rFonts w:ascii="Arial" w:eastAsia="Arial" w:hAnsi="Arial" w:cs="Arial"/>
              </w:rPr>
            </w:pPr>
            <w:r>
              <w:rPr>
                <w:rFonts w:ascii="Arial" w:eastAsia="Arial" w:hAnsi="Arial" w:cs="Arial"/>
              </w:rPr>
              <w:t>Lilia Estrella Vidal</w:t>
            </w:r>
          </w:p>
        </w:tc>
        <w:tc>
          <w:tcPr>
            <w:tcW w:w="3075" w:type="dxa"/>
            <w:tcBorders>
              <w:top w:val="nil"/>
              <w:left w:val="nil"/>
              <w:bottom w:val="single" w:sz="7" w:space="0" w:color="000000"/>
              <w:right w:val="single" w:sz="7" w:space="0" w:color="000000"/>
            </w:tcBorders>
            <w:tcMar>
              <w:top w:w="0" w:type="dxa"/>
              <w:left w:w="100" w:type="dxa"/>
              <w:bottom w:w="0" w:type="dxa"/>
              <w:right w:w="100" w:type="dxa"/>
            </w:tcMar>
          </w:tcPr>
          <w:p w14:paraId="692267CE" w14:textId="77777777" w:rsidR="00760340" w:rsidRDefault="004E6F15">
            <w:pPr>
              <w:spacing w:after="0" w:line="276" w:lineRule="auto"/>
              <w:ind w:left="100" w:right="100"/>
              <w:jc w:val="center"/>
              <w:rPr>
                <w:rFonts w:ascii="Arial" w:eastAsia="Arial" w:hAnsi="Arial" w:cs="Arial"/>
              </w:rPr>
            </w:pPr>
            <w:r>
              <w:rPr>
                <w:rFonts w:ascii="Arial" w:eastAsia="Arial" w:hAnsi="Arial" w:cs="Arial"/>
              </w:rPr>
              <w:t>Juntos por la Libertad</w:t>
            </w:r>
          </w:p>
        </w:tc>
        <w:tc>
          <w:tcPr>
            <w:tcW w:w="2025" w:type="dxa"/>
            <w:tcBorders>
              <w:top w:val="nil"/>
              <w:left w:val="nil"/>
              <w:bottom w:val="single" w:sz="7" w:space="0" w:color="000000"/>
              <w:right w:val="single" w:sz="7" w:space="0" w:color="000000"/>
            </w:tcBorders>
            <w:tcMar>
              <w:top w:w="0" w:type="dxa"/>
              <w:left w:w="100" w:type="dxa"/>
              <w:bottom w:w="0" w:type="dxa"/>
              <w:right w:w="100" w:type="dxa"/>
            </w:tcMar>
          </w:tcPr>
          <w:p w14:paraId="67F53B6D" w14:textId="785D9743" w:rsidR="00760340" w:rsidRDefault="004E6F15">
            <w:pPr>
              <w:spacing w:after="0" w:line="276" w:lineRule="auto"/>
              <w:ind w:left="100" w:right="100"/>
              <w:jc w:val="center"/>
              <w:rPr>
                <w:rFonts w:ascii="Arial" w:eastAsia="Arial" w:hAnsi="Arial" w:cs="Arial"/>
              </w:rPr>
            </w:pPr>
            <w:r>
              <w:rPr>
                <w:rFonts w:ascii="Arial" w:eastAsia="Arial" w:hAnsi="Arial" w:cs="Arial"/>
              </w:rPr>
              <w:t xml:space="preserve"> </w:t>
            </w:r>
            <w:r w:rsidR="007820E7">
              <w:rPr>
                <w:rFonts w:ascii="Arial" w:eastAsia="Arial" w:hAnsi="Arial" w:cs="Arial"/>
              </w:rPr>
              <w:t>Abstención</w:t>
            </w:r>
          </w:p>
        </w:tc>
      </w:tr>
      <w:tr w:rsidR="00760340" w14:paraId="74BAC173" w14:textId="77777777">
        <w:trPr>
          <w:trHeight w:val="285"/>
        </w:trPr>
        <w:tc>
          <w:tcPr>
            <w:tcW w:w="343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CE8680B" w14:textId="77777777" w:rsidR="00760340" w:rsidRDefault="004E6F15">
            <w:pPr>
              <w:spacing w:after="0" w:line="276" w:lineRule="auto"/>
              <w:ind w:left="100" w:right="100"/>
              <w:jc w:val="center"/>
              <w:rPr>
                <w:rFonts w:ascii="Arial" w:eastAsia="Arial" w:hAnsi="Arial" w:cs="Arial"/>
              </w:rPr>
            </w:pPr>
            <w:r>
              <w:rPr>
                <w:rFonts w:ascii="Arial" w:eastAsia="Arial" w:hAnsi="Arial" w:cs="Arial"/>
              </w:rPr>
              <w:t>Tomás Alberto Andrade</w:t>
            </w:r>
          </w:p>
        </w:tc>
        <w:tc>
          <w:tcPr>
            <w:tcW w:w="3075" w:type="dxa"/>
            <w:tcBorders>
              <w:top w:val="nil"/>
              <w:left w:val="nil"/>
              <w:bottom w:val="single" w:sz="7" w:space="0" w:color="000000"/>
              <w:right w:val="single" w:sz="7" w:space="0" w:color="000000"/>
            </w:tcBorders>
            <w:tcMar>
              <w:top w:w="0" w:type="dxa"/>
              <w:left w:w="100" w:type="dxa"/>
              <w:bottom w:w="0" w:type="dxa"/>
              <w:right w:w="100" w:type="dxa"/>
            </w:tcMar>
          </w:tcPr>
          <w:p w14:paraId="7AEC6641" w14:textId="77777777" w:rsidR="00760340" w:rsidRDefault="004E6F15">
            <w:pPr>
              <w:spacing w:after="0" w:line="276" w:lineRule="auto"/>
              <w:ind w:left="100" w:right="100"/>
              <w:jc w:val="center"/>
              <w:rPr>
                <w:rFonts w:ascii="Arial" w:eastAsia="Arial" w:hAnsi="Arial" w:cs="Arial"/>
              </w:rPr>
            </w:pPr>
            <w:r>
              <w:rPr>
                <w:rFonts w:ascii="Arial" w:eastAsia="Arial" w:hAnsi="Arial" w:cs="Arial"/>
              </w:rPr>
              <w:t>Avanzar Neuquén</w:t>
            </w:r>
          </w:p>
        </w:tc>
        <w:tc>
          <w:tcPr>
            <w:tcW w:w="2025" w:type="dxa"/>
            <w:tcBorders>
              <w:top w:val="nil"/>
              <w:left w:val="nil"/>
              <w:bottom w:val="single" w:sz="7" w:space="0" w:color="000000"/>
              <w:right w:val="single" w:sz="7" w:space="0" w:color="000000"/>
            </w:tcBorders>
            <w:tcMar>
              <w:top w:w="0" w:type="dxa"/>
              <w:left w:w="100" w:type="dxa"/>
              <w:bottom w:w="0" w:type="dxa"/>
              <w:right w:w="100" w:type="dxa"/>
            </w:tcMar>
          </w:tcPr>
          <w:p w14:paraId="5A1BB9FB" w14:textId="1EE4CED6" w:rsidR="00760340" w:rsidRDefault="004E6F15">
            <w:pPr>
              <w:spacing w:after="0" w:line="276" w:lineRule="auto"/>
              <w:ind w:left="100" w:right="100"/>
              <w:jc w:val="center"/>
              <w:rPr>
                <w:rFonts w:ascii="Arial" w:eastAsia="Arial" w:hAnsi="Arial" w:cs="Arial"/>
              </w:rPr>
            </w:pPr>
            <w:r>
              <w:rPr>
                <w:rFonts w:ascii="Arial" w:eastAsia="Arial" w:hAnsi="Arial" w:cs="Arial"/>
              </w:rPr>
              <w:t xml:space="preserve"> </w:t>
            </w:r>
            <w:r w:rsidR="007820E7">
              <w:rPr>
                <w:rFonts w:ascii="Arial" w:eastAsia="Arial" w:hAnsi="Arial" w:cs="Arial"/>
              </w:rPr>
              <w:t>+1</w:t>
            </w:r>
          </w:p>
        </w:tc>
      </w:tr>
      <w:tr w:rsidR="00760340" w14:paraId="0361C548" w14:textId="77777777">
        <w:trPr>
          <w:trHeight w:val="285"/>
        </w:trPr>
        <w:tc>
          <w:tcPr>
            <w:tcW w:w="3435"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B9C4EDD" w14:textId="77777777" w:rsidR="00760340" w:rsidRDefault="004E6F15">
            <w:pPr>
              <w:spacing w:after="0" w:line="276" w:lineRule="auto"/>
              <w:ind w:left="100" w:right="100"/>
              <w:jc w:val="center"/>
              <w:rPr>
                <w:rFonts w:ascii="Arial" w:eastAsia="Arial" w:hAnsi="Arial" w:cs="Arial"/>
              </w:rPr>
            </w:pPr>
            <w:r>
              <w:rPr>
                <w:rFonts w:ascii="Arial" w:eastAsia="Arial" w:hAnsi="Arial" w:cs="Arial"/>
              </w:rPr>
              <w:t>Noelia Elisabet Figueroa</w:t>
            </w:r>
          </w:p>
        </w:tc>
        <w:tc>
          <w:tcPr>
            <w:tcW w:w="3075" w:type="dxa"/>
            <w:tcBorders>
              <w:top w:val="nil"/>
              <w:left w:val="nil"/>
              <w:bottom w:val="single" w:sz="7" w:space="0" w:color="000000"/>
              <w:right w:val="single" w:sz="7" w:space="0" w:color="000000"/>
            </w:tcBorders>
            <w:tcMar>
              <w:top w:w="0" w:type="dxa"/>
              <w:left w:w="100" w:type="dxa"/>
              <w:bottom w:w="0" w:type="dxa"/>
              <w:right w:w="100" w:type="dxa"/>
            </w:tcMar>
          </w:tcPr>
          <w:p w14:paraId="768A5850" w14:textId="77777777" w:rsidR="00760340" w:rsidRDefault="004E6F15">
            <w:pPr>
              <w:spacing w:after="0" w:line="276" w:lineRule="auto"/>
              <w:ind w:left="100" w:right="100"/>
              <w:jc w:val="center"/>
              <w:rPr>
                <w:rFonts w:ascii="Arial" w:eastAsia="Arial" w:hAnsi="Arial" w:cs="Arial"/>
              </w:rPr>
            </w:pPr>
            <w:r>
              <w:rPr>
                <w:rFonts w:ascii="Arial" w:eastAsia="Arial" w:hAnsi="Arial" w:cs="Arial"/>
              </w:rPr>
              <w:t>Comunidad</w:t>
            </w:r>
          </w:p>
        </w:tc>
        <w:tc>
          <w:tcPr>
            <w:tcW w:w="2025" w:type="dxa"/>
            <w:tcBorders>
              <w:top w:val="nil"/>
              <w:left w:val="nil"/>
              <w:bottom w:val="single" w:sz="7" w:space="0" w:color="000000"/>
              <w:right w:val="single" w:sz="7" w:space="0" w:color="000000"/>
            </w:tcBorders>
            <w:tcMar>
              <w:top w:w="0" w:type="dxa"/>
              <w:left w:w="100" w:type="dxa"/>
              <w:bottom w:w="0" w:type="dxa"/>
              <w:right w:w="100" w:type="dxa"/>
            </w:tcMar>
          </w:tcPr>
          <w:p w14:paraId="346AE1B6" w14:textId="0309FA36" w:rsidR="00760340" w:rsidRDefault="004E6F15">
            <w:pPr>
              <w:spacing w:after="0" w:line="276" w:lineRule="auto"/>
              <w:ind w:left="100" w:right="100"/>
              <w:jc w:val="center"/>
              <w:rPr>
                <w:rFonts w:ascii="Arial" w:eastAsia="Arial" w:hAnsi="Arial" w:cs="Arial"/>
              </w:rPr>
            </w:pPr>
            <w:r>
              <w:rPr>
                <w:rFonts w:ascii="Arial" w:eastAsia="Arial" w:hAnsi="Arial" w:cs="Arial"/>
              </w:rPr>
              <w:t xml:space="preserve"> </w:t>
            </w:r>
            <w:r w:rsidR="007820E7">
              <w:rPr>
                <w:rFonts w:ascii="Arial" w:eastAsia="Arial" w:hAnsi="Arial" w:cs="Arial"/>
              </w:rPr>
              <w:t>+1</w:t>
            </w:r>
          </w:p>
        </w:tc>
      </w:tr>
    </w:tbl>
    <w:p w14:paraId="58DA1D8B" w14:textId="77777777" w:rsidR="00760340" w:rsidRDefault="00760340">
      <w:pPr>
        <w:spacing w:after="0" w:line="276" w:lineRule="auto"/>
        <w:ind w:left="-420" w:right="-700"/>
        <w:jc w:val="both"/>
        <w:rPr>
          <w:rFonts w:ascii="Arial" w:eastAsia="Arial" w:hAnsi="Arial" w:cs="Arial"/>
        </w:rPr>
      </w:pPr>
    </w:p>
    <w:p w14:paraId="42AC34CA" w14:textId="77777777" w:rsidR="00760340" w:rsidRDefault="004E6F15">
      <w:pPr>
        <w:spacing w:after="0" w:line="276" w:lineRule="auto"/>
        <w:ind w:left="-420" w:right="-700"/>
        <w:jc w:val="both"/>
        <w:rPr>
          <w:rFonts w:ascii="Arial" w:eastAsia="Arial" w:hAnsi="Arial" w:cs="Arial"/>
        </w:rPr>
      </w:pPr>
      <w:r>
        <w:rPr>
          <w:rFonts w:ascii="Arial" w:eastAsia="Arial" w:hAnsi="Arial" w:cs="Arial"/>
        </w:rPr>
        <w:t>Fdo. Raimondo Sebastián (Presidente CD)</w:t>
      </w:r>
    </w:p>
    <w:p w14:paraId="6371F44F" w14:textId="77777777" w:rsidR="00760340" w:rsidRDefault="004E6F15">
      <w:pPr>
        <w:spacing w:after="0" w:line="276" w:lineRule="auto"/>
        <w:ind w:left="-420" w:right="-700"/>
        <w:jc w:val="both"/>
        <w:rPr>
          <w:rFonts w:ascii="Arial" w:eastAsia="Arial" w:hAnsi="Arial" w:cs="Arial"/>
        </w:rPr>
      </w:pPr>
      <w:r>
        <w:rPr>
          <w:rFonts w:ascii="Arial" w:eastAsia="Arial" w:hAnsi="Arial" w:cs="Arial"/>
        </w:rPr>
        <w:t>Jimena de los Ángeles Montero (Secretaria CD)</w:t>
      </w:r>
    </w:p>
    <w:p w14:paraId="25B66D1E" w14:textId="77777777" w:rsidR="00760340" w:rsidRDefault="00760340">
      <w:pPr>
        <w:spacing w:before="280" w:after="280" w:line="240" w:lineRule="auto"/>
        <w:jc w:val="both"/>
        <w:rPr>
          <w:rFonts w:ascii="Arial" w:eastAsia="Arial" w:hAnsi="Arial" w:cs="Arial"/>
        </w:rPr>
      </w:pPr>
    </w:p>
    <w:sectPr w:rsidR="00760340">
      <w:headerReference w:type="default" r:id="rId8"/>
      <w:footerReference w:type="default" r:id="rId9"/>
      <w:pgSz w:w="12240" w:h="2016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99C63" w14:textId="77777777" w:rsidR="004E6F15" w:rsidRDefault="004E6F15">
      <w:pPr>
        <w:spacing w:after="0" w:line="240" w:lineRule="auto"/>
      </w:pPr>
      <w:r>
        <w:separator/>
      </w:r>
    </w:p>
  </w:endnote>
  <w:endnote w:type="continuationSeparator" w:id="0">
    <w:p w14:paraId="4E0DACC5" w14:textId="77777777" w:rsidR="004E6F15" w:rsidRDefault="004E6F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1439533B-98E9-46FF-878B-A41BE022296D}"/>
    <w:embedItalic r:id="rId2" w:fontKey="{95070C36-1379-4999-B6E4-079499665F1F}"/>
  </w:font>
  <w:font w:name="Play">
    <w:charset w:val="00"/>
    <w:family w:val="auto"/>
    <w:pitch w:val="default"/>
    <w:embedRegular r:id="rId3" w:fontKey="{C5FE5EC6-EE2A-4201-84B7-CBB22D804CCB}"/>
  </w:font>
  <w:font w:name="Aptos Display">
    <w:charset w:val="00"/>
    <w:family w:val="swiss"/>
    <w:pitch w:val="variable"/>
    <w:sig w:usb0="20000287" w:usb1="00000003" w:usb2="00000000" w:usb3="00000000" w:csb0="0000019F" w:csb1="00000000"/>
    <w:embedRegular r:id="rId4" w:fontKey="{C1A54D2E-DE6D-4B3F-A478-A74066C19D3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5" w:fontKey="{A6A6F008-763D-4FBA-9D0A-5D9217216B7A}"/>
  </w:font>
  <w:font w:name="Bookman Old Style">
    <w:panose1 w:val="02050604050505020204"/>
    <w:charset w:val="00"/>
    <w:family w:val="roman"/>
    <w:pitch w:val="variable"/>
    <w:sig w:usb0="00000287" w:usb1="00000000" w:usb2="00000000" w:usb3="00000000" w:csb0="0000009F" w:csb1="00000000"/>
    <w:embedRegular r:id="rId6" w:fontKey="{EF232139-24FC-4362-AF4D-C7082A48DEF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3EF3C" w14:textId="77777777" w:rsidR="00760340" w:rsidRPr="000F35DF" w:rsidRDefault="004E6F15">
    <w:pPr>
      <w:pBdr>
        <w:top w:val="single" w:sz="4" w:space="1" w:color="000000"/>
      </w:pBdr>
      <w:spacing w:before="240" w:after="0" w:line="276" w:lineRule="auto"/>
      <w:jc w:val="center"/>
      <w:rPr>
        <w:rFonts w:ascii="Arial" w:eastAsia="Arial" w:hAnsi="Arial" w:cs="Arial"/>
      </w:rPr>
    </w:pPr>
    <w:r w:rsidRPr="000F35DF">
      <w:rPr>
        <w:rFonts w:ascii="Arial" w:eastAsia="Bookman Old Style" w:hAnsi="Arial" w:cs="Arial"/>
        <w:color w:val="222222"/>
        <w:sz w:val="20"/>
        <w:szCs w:val="20"/>
        <w:highlight w:val="white"/>
      </w:rPr>
      <w:t>“A 50 Años de la Dictadura Cívico-Militar: Memoria, Verdad y Justicia”</w:t>
    </w:r>
  </w:p>
  <w:p w14:paraId="2C4D86AC" w14:textId="77777777" w:rsidR="00760340" w:rsidRDefault="00760340">
    <w:pPr>
      <w:pBdr>
        <w:top w:val="nil"/>
        <w:left w:val="nil"/>
        <w:bottom w:val="nil"/>
        <w:right w:val="nil"/>
        <w:between w:val="nil"/>
      </w:pBdr>
      <w:tabs>
        <w:tab w:val="center" w:pos="4252"/>
        <w:tab w:val="right" w:pos="8504"/>
      </w:tabs>
      <w:spacing w:after="0" w:line="240" w:lineRule="auto"/>
      <w:rPr>
        <w:rFonts w:ascii="Arial" w:eastAsia="Arial" w:hAnsi="Arial" w:cs="Arial"/>
      </w:rPr>
    </w:pPr>
  </w:p>
  <w:p w14:paraId="35343EF7" w14:textId="77777777" w:rsidR="00760340" w:rsidRDefault="004E6F15">
    <w:pPr>
      <w:pBdr>
        <w:top w:val="nil"/>
        <w:left w:val="nil"/>
        <w:bottom w:val="nil"/>
        <w:right w:val="nil"/>
        <w:between w:val="nil"/>
      </w:pBdr>
      <w:tabs>
        <w:tab w:val="center" w:pos="4252"/>
        <w:tab w:val="right" w:pos="8504"/>
      </w:tabs>
      <w:spacing w:after="0" w:line="240" w:lineRule="auto"/>
      <w:jc w:val="right"/>
      <w:rPr>
        <w:rFonts w:ascii="Arial" w:eastAsia="Arial" w:hAnsi="Arial" w:cs="Arial"/>
      </w:rPr>
    </w:pPr>
    <w:r>
      <w:rPr>
        <w:rFonts w:ascii="Arial" w:eastAsia="Arial" w:hAnsi="Arial" w:cs="Arial"/>
      </w:rPr>
      <w:fldChar w:fldCharType="begin"/>
    </w:r>
    <w:r>
      <w:rPr>
        <w:rFonts w:ascii="Arial" w:eastAsia="Arial" w:hAnsi="Arial" w:cs="Arial"/>
      </w:rPr>
      <w:instrText>PAGE</w:instrText>
    </w:r>
    <w:r>
      <w:rPr>
        <w:rFonts w:ascii="Arial" w:eastAsia="Arial" w:hAnsi="Arial" w:cs="Arial"/>
      </w:rPr>
      <w:fldChar w:fldCharType="separate"/>
    </w:r>
    <w:r w:rsidR="00147E75">
      <w:rPr>
        <w:rFonts w:ascii="Arial" w:eastAsia="Arial" w:hAnsi="Arial" w:cs="Arial"/>
        <w:noProof/>
      </w:rPr>
      <w:t>1</w:t>
    </w:r>
    <w:r>
      <w:rPr>
        <w:rFonts w:ascii="Arial" w:eastAsia="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947B5E" w14:textId="77777777" w:rsidR="004E6F15" w:rsidRDefault="004E6F15">
      <w:pPr>
        <w:spacing w:after="0" w:line="240" w:lineRule="auto"/>
      </w:pPr>
      <w:r>
        <w:separator/>
      </w:r>
    </w:p>
  </w:footnote>
  <w:footnote w:type="continuationSeparator" w:id="0">
    <w:p w14:paraId="0A86CA65" w14:textId="77777777" w:rsidR="004E6F15" w:rsidRDefault="004E6F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14FA7" w14:textId="77777777" w:rsidR="00760340" w:rsidRDefault="004E6F15">
    <w:pPr>
      <w:pBdr>
        <w:top w:val="nil"/>
        <w:left w:val="nil"/>
        <w:bottom w:val="nil"/>
        <w:right w:val="nil"/>
        <w:between w:val="nil"/>
      </w:pBdr>
      <w:tabs>
        <w:tab w:val="center" w:pos="4252"/>
        <w:tab w:val="right" w:pos="8504"/>
        <w:tab w:val="left" w:pos="7695"/>
      </w:tabs>
      <w:spacing w:after="0" w:line="240" w:lineRule="auto"/>
      <w:rPr>
        <w:color w:val="000000"/>
      </w:rPr>
    </w:pPr>
    <w:r>
      <w:rPr>
        <w:color w:val="000000"/>
      </w:rPr>
      <w:tab/>
    </w:r>
    <w:r>
      <w:rPr>
        <w:noProof/>
      </w:rPr>
      <w:drawing>
        <wp:anchor distT="0" distB="0" distL="0" distR="0" simplePos="0" relativeHeight="251658240" behindDoc="1" locked="0" layoutInCell="1" hidden="0" allowOverlap="1" wp14:anchorId="0BB061A8" wp14:editId="089F2EE5">
          <wp:simplePos x="0" y="0"/>
          <wp:positionH relativeFrom="column">
            <wp:posOffset>2173296</wp:posOffset>
          </wp:positionH>
          <wp:positionV relativeFrom="paragraph">
            <wp:posOffset>-48257</wp:posOffset>
          </wp:positionV>
          <wp:extent cx="1265535" cy="941831"/>
          <wp:effectExtent l="0" t="0" r="0" b="0"/>
          <wp:wrapNone/>
          <wp:docPr id="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65535" cy="941831"/>
                  </a:xfrm>
                  <a:prstGeom prst="rect">
                    <a:avLst/>
                  </a:prstGeom>
                  <a:ln/>
                </pic:spPr>
              </pic:pic>
            </a:graphicData>
          </a:graphic>
        </wp:anchor>
      </w:drawing>
    </w:r>
  </w:p>
  <w:p w14:paraId="5C49B0E1" w14:textId="77777777" w:rsidR="00760340" w:rsidRDefault="00760340">
    <w:pPr>
      <w:pBdr>
        <w:top w:val="nil"/>
        <w:left w:val="nil"/>
        <w:bottom w:val="nil"/>
        <w:right w:val="nil"/>
        <w:between w:val="nil"/>
      </w:pBdr>
      <w:tabs>
        <w:tab w:val="center" w:pos="4252"/>
        <w:tab w:val="right" w:pos="8504"/>
        <w:tab w:val="left" w:pos="7695"/>
      </w:tabs>
      <w:spacing w:after="0" w:line="240" w:lineRule="auto"/>
      <w:rPr>
        <w:color w:val="000000"/>
      </w:rPr>
    </w:pPr>
  </w:p>
  <w:p w14:paraId="12138148" w14:textId="77777777" w:rsidR="00760340" w:rsidRDefault="00760340">
    <w:pPr>
      <w:pBdr>
        <w:top w:val="nil"/>
        <w:left w:val="nil"/>
        <w:bottom w:val="nil"/>
        <w:right w:val="nil"/>
        <w:between w:val="nil"/>
      </w:pBdr>
      <w:tabs>
        <w:tab w:val="center" w:pos="4252"/>
        <w:tab w:val="right" w:pos="8504"/>
        <w:tab w:val="left" w:pos="7695"/>
      </w:tabs>
      <w:spacing w:after="0" w:line="240" w:lineRule="auto"/>
      <w:rPr>
        <w:color w:val="000000"/>
      </w:rPr>
    </w:pPr>
  </w:p>
  <w:p w14:paraId="11535CF5" w14:textId="77777777" w:rsidR="00760340" w:rsidRDefault="00760340">
    <w:pPr>
      <w:pBdr>
        <w:top w:val="nil"/>
        <w:left w:val="nil"/>
        <w:bottom w:val="nil"/>
        <w:right w:val="nil"/>
        <w:between w:val="nil"/>
      </w:pBdr>
      <w:tabs>
        <w:tab w:val="center" w:pos="4252"/>
        <w:tab w:val="right" w:pos="8504"/>
        <w:tab w:val="left" w:pos="7695"/>
      </w:tabs>
      <w:spacing w:after="0" w:line="240" w:lineRule="auto"/>
      <w:rPr>
        <w:color w:val="000000"/>
      </w:rPr>
    </w:pPr>
  </w:p>
  <w:p w14:paraId="4621E684" w14:textId="77777777" w:rsidR="00760340" w:rsidRDefault="00760340">
    <w:pPr>
      <w:pBdr>
        <w:top w:val="nil"/>
        <w:left w:val="nil"/>
        <w:bottom w:val="nil"/>
        <w:right w:val="nil"/>
        <w:between w:val="nil"/>
      </w:pBdr>
      <w:tabs>
        <w:tab w:val="center" w:pos="4252"/>
        <w:tab w:val="right" w:pos="8504"/>
        <w:tab w:val="left" w:pos="7695"/>
      </w:tabs>
      <w:spacing w:after="0" w:line="240" w:lineRule="auto"/>
      <w:rPr>
        <w:color w:val="000000"/>
      </w:rPr>
    </w:pPr>
  </w:p>
  <w:p w14:paraId="1D9522AF" w14:textId="3D157CEB" w:rsidR="00760340" w:rsidRPr="000F35DF" w:rsidRDefault="004E6F15">
    <w:pPr>
      <w:pBdr>
        <w:top w:val="nil"/>
        <w:left w:val="nil"/>
        <w:bottom w:val="single" w:sz="4" w:space="1" w:color="000000"/>
        <w:right w:val="nil"/>
        <w:between w:val="nil"/>
      </w:pBdr>
      <w:tabs>
        <w:tab w:val="center" w:pos="4252"/>
        <w:tab w:val="right" w:pos="8504"/>
        <w:tab w:val="left" w:pos="7695"/>
      </w:tabs>
      <w:spacing w:after="0" w:line="240" w:lineRule="auto"/>
      <w:jc w:val="center"/>
      <w:rPr>
        <w:rFonts w:ascii="Calibri" w:eastAsia="Bookman Old Style" w:hAnsi="Calibri" w:cs="Calibri"/>
        <w:color w:val="000000"/>
        <w:sz w:val="22"/>
        <w:szCs w:val="22"/>
      </w:rPr>
    </w:pPr>
    <w:r w:rsidRPr="000F35DF">
      <w:rPr>
        <w:rFonts w:ascii="Calibri" w:eastAsia="Bookman Old Style" w:hAnsi="Calibri" w:cs="Calibri"/>
        <w:color w:val="000000"/>
        <w:sz w:val="22"/>
        <w:szCs w:val="22"/>
      </w:rPr>
      <w:t>“2026</w:t>
    </w:r>
    <w:r w:rsidR="000F35DF" w:rsidRPr="000F35DF">
      <w:rPr>
        <w:rFonts w:ascii="Calibri" w:eastAsia="Bookman Old Style" w:hAnsi="Calibri" w:cs="Calibri"/>
        <w:color w:val="000000"/>
        <w:sz w:val="22"/>
        <w:szCs w:val="22"/>
      </w:rPr>
      <w:t>:</w:t>
    </w:r>
    <w:r w:rsidRPr="000F35DF">
      <w:rPr>
        <w:rFonts w:ascii="Calibri" w:eastAsia="Bookman Old Style" w:hAnsi="Calibri" w:cs="Calibri"/>
        <w:color w:val="000000"/>
        <w:sz w:val="22"/>
        <w:szCs w:val="22"/>
      </w:rPr>
      <w:t xml:space="preserve"> 20° Aniversario de la Reforma de la Constitución de la Provincia del Neuquén”</w:t>
    </w:r>
  </w:p>
  <w:p w14:paraId="7D60470C" w14:textId="77777777" w:rsidR="00760340" w:rsidRDefault="004E6F15">
    <w:pPr>
      <w:pBdr>
        <w:top w:val="nil"/>
        <w:left w:val="nil"/>
        <w:bottom w:val="single" w:sz="4" w:space="1" w:color="000000"/>
        <w:right w:val="nil"/>
        <w:between w:val="nil"/>
      </w:pBdr>
      <w:tabs>
        <w:tab w:val="center" w:pos="4252"/>
        <w:tab w:val="right" w:pos="8504"/>
      </w:tabs>
      <w:spacing w:after="0" w:line="240" w:lineRule="auto"/>
      <w:jc w:val="right"/>
      <w:rPr>
        <w:rFonts w:ascii="Bookman Old Style" w:eastAsia="Bookman Old Style" w:hAnsi="Bookman Old Style" w:cs="Bookman Old Style"/>
        <w:color w:val="000000"/>
        <w:sz w:val="20"/>
        <w:szCs w:val="20"/>
      </w:rPr>
    </w:pPr>
    <w:r>
      <w:rPr>
        <w:rFonts w:ascii="Bookman Old Style" w:eastAsia="Bookman Old Style" w:hAnsi="Bookman Old Style" w:cs="Bookman Old Style"/>
        <w:color w:val="000000"/>
        <w:sz w:val="20"/>
        <w:szCs w:val="20"/>
      </w:rPr>
      <w:t>«Mes de la Concientización y de las Acciones para la Inclusión Plena»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54455B"/>
    <w:multiLevelType w:val="multilevel"/>
    <w:tmpl w:val="249A7C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60155E6C"/>
    <w:multiLevelType w:val="multilevel"/>
    <w:tmpl w:val="493AA9A8"/>
    <w:lvl w:ilvl="0">
      <w:start w:val="5"/>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lef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lef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left"/>
      <w:pPr>
        <w:ind w:left="7200" w:hanging="360"/>
      </w:pPr>
      <w:rPr>
        <w:u w:val="none"/>
      </w:rPr>
    </w:lvl>
  </w:abstractNum>
  <w:abstractNum w:abstractNumId="2" w15:restartNumberingAfterBreak="0">
    <w:nsid w:val="75503CB2"/>
    <w:multiLevelType w:val="multilevel"/>
    <w:tmpl w:val="678A9870"/>
    <w:lvl w:ilvl="0">
      <w:start w:val="9"/>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1803689719">
    <w:abstractNumId w:val="0"/>
  </w:num>
  <w:num w:numId="2" w16cid:durableId="449668203">
    <w:abstractNumId w:val="1"/>
  </w:num>
  <w:num w:numId="3" w16cid:durableId="9738740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0340"/>
    <w:rsid w:val="000F35DF"/>
    <w:rsid w:val="00147E75"/>
    <w:rsid w:val="00172FB2"/>
    <w:rsid w:val="002515C9"/>
    <w:rsid w:val="004760FF"/>
    <w:rsid w:val="004E6F15"/>
    <w:rsid w:val="00555082"/>
    <w:rsid w:val="00760340"/>
    <w:rsid w:val="007820E7"/>
    <w:rsid w:val="00786529"/>
    <w:rsid w:val="00D97454"/>
    <w:rsid w:val="00E50420"/>
    <w:rsid w:val="00F6713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9A895"/>
  <w15:docId w15:val="{29A2B674-58B9-4BDE-B900-ED2A6BED0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s-AR" w:eastAsia="es-A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paragraph" w:styleId="Ttulo7">
    <w:name w:val="heading 7"/>
    <w:basedOn w:val="Normal"/>
    <w:next w:val="Normal"/>
    <w:link w:val="Ttulo7Car"/>
    <w:uiPriority w:val="9"/>
    <w:semiHidden/>
    <w:unhideWhenUsed/>
    <w:qFormat/>
    <w:rsid w:val="001B53A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B53A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B53A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table" w:customStyle="1" w:styleId="TableNormal0">
    <w:name w:val="TableNormal"/>
    <w:tblPr>
      <w:tblCellMar>
        <w:top w:w="100" w:type="dxa"/>
        <w:left w:w="100" w:type="dxa"/>
        <w:bottom w:w="100" w:type="dxa"/>
        <w:right w:w="100" w:type="dxa"/>
      </w:tblCellMar>
    </w:tblPr>
  </w:style>
  <w:style w:type="character" w:customStyle="1" w:styleId="Ttulo1Car">
    <w:name w:val="Título 1 Car"/>
    <w:basedOn w:val="Fuentedeprrafopredeter"/>
    <w:uiPriority w:val="9"/>
    <w:rsid w:val="001B53A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uiPriority w:val="9"/>
    <w:semiHidden/>
    <w:rsid w:val="001B53A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uiPriority w:val="9"/>
    <w:semiHidden/>
    <w:rsid w:val="001B53A4"/>
    <w:rPr>
      <w:rFonts w:eastAsiaTheme="majorEastAsia" w:cstheme="majorBidi"/>
      <w:color w:val="0F4761" w:themeColor="accent1" w:themeShade="BF"/>
      <w:sz w:val="28"/>
      <w:szCs w:val="28"/>
    </w:rPr>
  </w:style>
  <w:style w:type="character" w:customStyle="1" w:styleId="Ttulo4Car">
    <w:name w:val="Título 4 Car"/>
    <w:basedOn w:val="Fuentedeprrafopredeter"/>
    <w:uiPriority w:val="9"/>
    <w:semiHidden/>
    <w:rsid w:val="001B53A4"/>
    <w:rPr>
      <w:rFonts w:eastAsiaTheme="majorEastAsia" w:cstheme="majorBidi"/>
      <w:i/>
      <w:iCs/>
      <w:color w:val="0F4761" w:themeColor="accent1" w:themeShade="BF"/>
    </w:rPr>
  </w:style>
  <w:style w:type="character" w:customStyle="1" w:styleId="Ttulo5Car">
    <w:name w:val="Título 5 Car"/>
    <w:basedOn w:val="Fuentedeprrafopredeter"/>
    <w:uiPriority w:val="9"/>
    <w:semiHidden/>
    <w:rsid w:val="001B53A4"/>
    <w:rPr>
      <w:rFonts w:eastAsiaTheme="majorEastAsia" w:cstheme="majorBidi"/>
      <w:color w:val="0F4761" w:themeColor="accent1" w:themeShade="BF"/>
    </w:rPr>
  </w:style>
  <w:style w:type="character" w:customStyle="1" w:styleId="Ttulo6Car">
    <w:name w:val="Título 6 Car"/>
    <w:basedOn w:val="Fuentedeprrafopredeter"/>
    <w:uiPriority w:val="9"/>
    <w:semiHidden/>
    <w:rsid w:val="001B53A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B53A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B53A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B53A4"/>
    <w:rPr>
      <w:rFonts w:eastAsiaTheme="majorEastAsia" w:cstheme="majorBidi"/>
      <w:color w:val="272727" w:themeColor="text1" w:themeTint="D8"/>
    </w:rPr>
  </w:style>
  <w:style w:type="character" w:customStyle="1" w:styleId="TtuloCar">
    <w:name w:val="Título Car"/>
    <w:basedOn w:val="Fuentedeprrafopredeter"/>
    <w:uiPriority w:val="10"/>
    <w:rsid w:val="001B53A4"/>
    <w:rPr>
      <w:rFonts w:asciiTheme="majorHAnsi" w:eastAsiaTheme="majorEastAsia" w:hAnsiTheme="majorHAnsi" w:cstheme="majorBidi"/>
      <w:spacing w:val="-10"/>
      <w:kern w:val="28"/>
      <w:sz w:val="56"/>
      <w:szCs w:val="56"/>
    </w:rPr>
  </w:style>
  <w:style w:type="character" w:customStyle="1" w:styleId="SubttuloCar">
    <w:name w:val="Subtítulo Car"/>
    <w:basedOn w:val="Fuentedeprrafopredeter"/>
    <w:uiPriority w:val="11"/>
    <w:rsid w:val="001B53A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B53A4"/>
    <w:pPr>
      <w:spacing w:before="160"/>
      <w:jc w:val="center"/>
    </w:pPr>
    <w:rPr>
      <w:i/>
      <w:iCs/>
      <w:color w:val="404040" w:themeColor="text1" w:themeTint="BF"/>
    </w:rPr>
  </w:style>
  <w:style w:type="character" w:customStyle="1" w:styleId="CitaCar">
    <w:name w:val="Cita Car"/>
    <w:basedOn w:val="Fuentedeprrafopredeter"/>
    <w:link w:val="Cita"/>
    <w:uiPriority w:val="29"/>
    <w:rsid w:val="001B53A4"/>
    <w:rPr>
      <w:i/>
      <w:iCs/>
      <w:color w:val="404040" w:themeColor="text1" w:themeTint="BF"/>
    </w:rPr>
  </w:style>
  <w:style w:type="paragraph" w:styleId="Prrafodelista">
    <w:name w:val="List Paragraph"/>
    <w:basedOn w:val="Normal"/>
    <w:uiPriority w:val="34"/>
    <w:qFormat/>
    <w:rsid w:val="001B53A4"/>
    <w:pPr>
      <w:ind w:left="720"/>
      <w:contextualSpacing/>
    </w:pPr>
  </w:style>
  <w:style w:type="character" w:styleId="nfasisintenso">
    <w:name w:val="Intense Emphasis"/>
    <w:basedOn w:val="Fuentedeprrafopredeter"/>
    <w:uiPriority w:val="21"/>
    <w:qFormat/>
    <w:rsid w:val="001B53A4"/>
    <w:rPr>
      <w:i/>
      <w:iCs/>
      <w:color w:val="0F4761" w:themeColor="accent1" w:themeShade="BF"/>
    </w:rPr>
  </w:style>
  <w:style w:type="paragraph" w:styleId="Citadestacada">
    <w:name w:val="Intense Quote"/>
    <w:basedOn w:val="Normal"/>
    <w:next w:val="Normal"/>
    <w:link w:val="CitadestacadaCar"/>
    <w:uiPriority w:val="30"/>
    <w:qFormat/>
    <w:rsid w:val="001B53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B53A4"/>
    <w:rPr>
      <w:i/>
      <w:iCs/>
      <w:color w:val="0F4761" w:themeColor="accent1" w:themeShade="BF"/>
    </w:rPr>
  </w:style>
  <w:style w:type="character" w:styleId="Referenciaintensa">
    <w:name w:val="Intense Reference"/>
    <w:basedOn w:val="Fuentedeprrafopredeter"/>
    <w:uiPriority w:val="32"/>
    <w:qFormat/>
    <w:rsid w:val="001B53A4"/>
    <w:rPr>
      <w:b/>
      <w:bCs/>
      <w:smallCaps/>
      <w:color w:val="0F4761" w:themeColor="accent1" w:themeShade="BF"/>
      <w:spacing w:val="5"/>
    </w:rPr>
  </w:style>
  <w:style w:type="paragraph" w:styleId="Encabezado">
    <w:name w:val="header"/>
    <w:basedOn w:val="Normal"/>
    <w:link w:val="EncabezadoCar"/>
    <w:uiPriority w:val="99"/>
    <w:unhideWhenUsed/>
    <w:rsid w:val="00681C8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81C87"/>
  </w:style>
  <w:style w:type="paragraph" w:styleId="Piedepgina">
    <w:name w:val="footer"/>
    <w:basedOn w:val="Normal"/>
    <w:link w:val="PiedepginaCar"/>
    <w:uiPriority w:val="99"/>
    <w:unhideWhenUsed/>
    <w:rsid w:val="00681C8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81C87"/>
  </w:style>
  <w:style w:type="table" w:customStyle="1" w:styleId="a">
    <w:basedOn w:val="TableNormal0"/>
    <w:tblPr>
      <w:tblStyleRowBandSize w:val="1"/>
      <w:tblStyleColBandSize w:val="1"/>
    </w:tblPr>
  </w:style>
  <w:style w:type="paragraph" w:styleId="Subttulo">
    <w:name w:val="Subtitle"/>
    <w:basedOn w:val="Normal"/>
    <w:next w:val="Normal"/>
    <w:uiPriority w:val="11"/>
    <w:qFormat/>
    <w:rPr>
      <w:color w:val="595959"/>
      <w:sz w:val="28"/>
      <w:szCs w:val="28"/>
    </w:rPr>
  </w:style>
  <w:style w:type="table" w:customStyle="1" w:styleId="a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374217">
      <w:bodyDiv w:val="1"/>
      <w:marLeft w:val="0"/>
      <w:marRight w:val="0"/>
      <w:marTop w:val="0"/>
      <w:marBottom w:val="0"/>
      <w:divBdr>
        <w:top w:val="none" w:sz="0" w:space="0" w:color="auto"/>
        <w:left w:val="none" w:sz="0" w:space="0" w:color="auto"/>
        <w:bottom w:val="none" w:sz="0" w:space="0" w:color="auto"/>
        <w:right w:val="none" w:sz="0" w:space="0" w:color="auto"/>
      </w:divBdr>
    </w:div>
    <w:div w:id="11875260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dBFMp71v4BqEZcT6JW6gDNhLGQ==">CgMxLjA4AHIhMThVb3dvX1ltckRkWnduX2Vxei01akVIRjlabWtkM1VK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6</Pages>
  <Words>2406</Words>
  <Characters>13233</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Arq. Andrea Aldea</dc:creator>
  <cp:lastModifiedBy>shcd</cp:lastModifiedBy>
  <cp:revision>9</cp:revision>
  <cp:lastPrinted>2026-10-27T11:29:00Z</cp:lastPrinted>
  <dcterms:created xsi:type="dcterms:W3CDTF">2026-09-23T13:12:00Z</dcterms:created>
  <dcterms:modified xsi:type="dcterms:W3CDTF">2026-10-28T16:37:00Z</dcterms:modified>
</cp:coreProperties>
</file>